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1B" w:rsidRPr="009A3B65" w:rsidRDefault="007F091B" w:rsidP="00CA551F">
      <w:pPr>
        <w:spacing w:before="120" w:after="120"/>
        <w:jc w:val="both"/>
        <w:rPr>
          <w:rFonts w:cs="Arial"/>
        </w:rPr>
      </w:pPr>
    </w:p>
    <w:p w:rsidR="004E2AF2" w:rsidRPr="009A3B65" w:rsidRDefault="004E2AF2" w:rsidP="00CA551F">
      <w:pPr>
        <w:spacing w:before="120" w:after="120"/>
        <w:jc w:val="both"/>
        <w:rPr>
          <w:rFonts w:cs="Arial"/>
        </w:rPr>
      </w:pPr>
    </w:p>
    <w:p w:rsidR="004E2AF2" w:rsidRPr="009A3B65" w:rsidRDefault="004E2AF2" w:rsidP="00CA551F">
      <w:pPr>
        <w:pStyle w:val="Ttol"/>
        <w:spacing w:before="120" w:after="120"/>
        <w:contextualSpacing w:val="0"/>
        <w:jc w:val="both"/>
        <w:rPr>
          <w:rFonts w:ascii="Arial" w:hAnsi="Arial" w:cs="Arial"/>
        </w:rPr>
      </w:pPr>
    </w:p>
    <w:p w:rsidR="004E2AF2" w:rsidRPr="009A3B65" w:rsidRDefault="004E2AF2" w:rsidP="00CA551F">
      <w:pPr>
        <w:pStyle w:val="Ttol"/>
        <w:spacing w:before="120" w:after="120"/>
        <w:contextualSpacing w:val="0"/>
        <w:jc w:val="both"/>
        <w:rPr>
          <w:rFonts w:ascii="Arial" w:hAnsi="Arial" w:cs="Arial"/>
        </w:rPr>
      </w:pPr>
    </w:p>
    <w:p w:rsidR="004E2AF2" w:rsidRPr="009A3B65" w:rsidRDefault="004E2AF2" w:rsidP="00CA551F">
      <w:pPr>
        <w:pStyle w:val="Ttol"/>
        <w:spacing w:before="120" w:after="120"/>
        <w:contextualSpacing w:val="0"/>
        <w:jc w:val="both"/>
        <w:rPr>
          <w:rFonts w:ascii="Arial" w:hAnsi="Arial" w:cs="Arial"/>
        </w:rPr>
      </w:pPr>
      <w:r w:rsidRPr="009A3B65">
        <w:rPr>
          <w:rFonts w:ascii="Arial" w:hAnsi="Arial" w:cs="Arial"/>
        </w:rPr>
        <w:t xml:space="preserve">Informe d’avaluació del compliment de les obligacions de </w:t>
      </w:r>
      <w:r w:rsidR="00EF08A4" w:rsidRPr="009A3B65">
        <w:rPr>
          <w:rFonts w:ascii="Arial" w:hAnsi="Arial" w:cs="Arial"/>
        </w:rPr>
        <w:t>transparència</w:t>
      </w:r>
      <w:r w:rsidRPr="009A3B65">
        <w:rPr>
          <w:rFonts w:ascii="Arial" w:hAnsi="Arial" w:cs="Arial"/>
        </w:rPr>
        <w:t xml:space="preserve"> de l</w:t>
      </w:r>
      <w:r w:rsidR="006F739D" w:rsidRPr="009A3B65">
        <w:rPr>
          <w:rFonts w:ascii="Arial" w:hAnsi="Arial" w:cs="Arial"/>
        </w:rPr>
        <w:t>’Administració de l</w:t>
      </w:r>
      <w:r w:rsidRPr="009A3B65">
        <w:rPr>
          <w:rFonts w:ascii="Arial" w:hAnsi="Arial" w:cs="Arial"/>
        </w:rPr>
        <w:t>a Generalitat de Catalunya</w:t>
      </w:r>
    </w:p>
    <w:p w:rsidR="004E2AF2" w:rsidRPr="009A3B65" w:rsidRDefault="004E2AF2" w:rsidP="00CA551F">
      <w:pPr>
        <w:spacing w:before="120" w:after="120"/>
        <w:jc w:val="both"/>
        <w:rPr>
          <w:rFonts w:cs="Arial"/>
        </w:rPr>
      </w:pPr>
    </w:p>
    <w:p w:rsidR="004E2AF2" w:rsidRPr="009A3B65" w:rsidRDefault="00671B73" w:rsidP="00CA551F">
      <w:pPr>
        <w:spacing w:before="120" w:after="120"/>
        <w:jc w:val="both"/>
        <w:rPr>
          <w:rFonts w:cs="Arial"/>
        </w:rPr>
      </w:pPr>
      <w:r>
        <w:rPr>
          <w:rFonts w:cs="Arial"/>
        </w:rPr>
        <w:t>Juliol de 2019</w:t>
      </w:r>
    </w:p>
    <w:p w:rsidR="004E2AF2" w:rsidRPr="009A3B65" w:rsidRDefault="004E2AF2" w:rsidP="00CA551F">
      <w:pPr>
        <w:spacing w:before="120" w:after="120"/>
        <w:jc w:val="both"/>
        <w:rPr>
          <w:rFonts w:cs="Arial"/>
        </w:rPr>
      </w:pPr>
      <w:r w:rsidRPr="009A3B65">
        <w:rPr>
          <w:rFonts w:cs="Arial"/>
        </w:rPr>
        <w:br w:type="page"/>
      </w:r>
      <w:bookmarkStart w:id="0" w:name="_GoBack"/>
      <w:bookmarkEnd w:id="0"/>
    </w:p>
    <w:p w:rsidR="004E2AF2" w:rsidRPr="006B0D68" w:rsidRDefault="004E2AF2" w:rsidP="00CA551F">
      <w:pPr>
        <w:pStyle w:val="Ttol2"/>
        <w:spacing w:before="120" w:after="120" w:line="240" w:lineRule="auto"/>
        <w:jc w:val="both"/>
        <w:rPr>
          <w:rFonts w:ascii="Arial" w:hAnsi="Arial" w:cs="Arial"/>
        </w:rPr>
      </w:pPr>
      <w:bookmarkStart w:id="1" w:name="_Toc528324803"/>
      <w:bookmarkStart w:id="2" w:name="_Toc13734419"/>
      <w:bookmarkStart w:id="3" w:name="_Toc14435188"/>
      <w:bookmarkStart w:id="4" w:name="_Toc14435630"/>
      <w:bookmarkStart w:id="5" w:name="_Toc14780357"/>
      <w:r w:rsidRPr="006B0D68">
        <w:rPr>
          <w:rFonts w:ascii="Arial" w:hAnsi="Arial" w:cs="Arial"/>
        </w:rPr>
        <w:lastRenderedPageBreak/>
        <w:t>Índex</w:t>
      </w:r>
      <w:bookmarkEnd w:id="1"/>
      <w:bookmarkEnd w:id="2"/>
      <w:bookmarkEnd w:id="3"/>
      <w:bookmarkEnd w:id="4"/>
      <w:bookmarkEnd w:id="5"/>
    </w:p>
    <w:p w:rsidR="004E2AF2" w:rsidRPr="009A3B65" w:rsidRDefault="004E2AF2" w:rsidP="00CA551F">
      <w:pPr>
        <w:spacing w:before="120" w:after="120"/>
        <w:jc w:val="both"/>
        <w:rPr>
          <w:rFonts w:cs="Arial"/>
        </w:rPr>
      </w:pPr>
    </w:p>
    <w:p w:rsidR="00D8104F" w:rsidRDefault="00FB761F">
      <w:pPr>
        <w:pStyle w:val="IDC2"/>
        <w:rPr>
          <w:rFonts w:asciiTheme="minorHAnsi" w:eastAsiaTheme="minorEastAsia" w:hAnsiTheme="minorHAnsi" w:cstheme="minorBidi"/>
          <w:noProof/>
        </w:rPr>
      </w:pPr>
      <w:r>
        <w:fldChar w:fldCharType="begin"/>
      </w:r>
      <w:r>
        <w:instrText xml:space="preserve"> TOC \o "1-3" \h \z \u </w:instrText>
      </w:r>
      <w:r>
        <w:fldChar w:fldCharType="separate"/>
      </w:r>
    </w:p>
    <w:p w:rsidR="00D8104F" w:rsidRDefault="00D8104F">
      <w:pPr>
        <w:pStyle w:val="IDC1"/>
        <w:tabs>
          <w:tab w:val="right" w:leader="dot" w:pos="9061"/>
        </w:tabs>
        <w:rPr>
          <w:rFonts w:eastAsiaTheme="minorEastAsia"/>
          <w:noProof/>
          <w:lang w:eastAsia="ca-ES"/>
        </w:rPr>
      </w:pPr>
      <w:hyperlink w:anchor="_Toc14780358" w:history="1">
        <w:r w:rsidRPr="00300234">
          <w:rPr>
            <w:rStyle w:val="Enlla"/>
            <w:rFonts w:ascii="Arial" w:hAnsi="Arial" w:cs="Arial"/>
            <w:noProof/>
          </w:rPr>
          <w:t>1. Introducció</w:t>
        </w:r>
        <w:r>
          <w:rPr>
            <w:noProof/>
            <w:webHidden/>
          </w:rPr>
          <w:tab/>
        </w:r>
        <w:r>
          <w:rPr>
            <w:noProof/>
            <w:webHidden/>
          </w:rPr>
          <w:fldChar w:fldCharType="begin"/>
        </w:r>
        <w:r>
          <w:rPr>
            <w:noProof/>
            <w:webHidden/>
          </w:rPr>
          <w:instrText xml:space="preserve"> PAGEREF _Toc14780358 \h </w:instrText>
        </w:r>
        <w:r>
          <w:rPr>
            <w:noProof/>
            <w:webHidden/>
          </w:rPr>
        </w:r>
        <w:r>
          <w:rPr>
            <w:noProof/>
            <w:webHidden/>
          </w:rPr>
          <w:fldChar w:fldCharType="separate"/>
        </w:r>
        <w:r>
          <w:rPr>
            <w:noProof/>
            <w:webHidden/>
          </w:rPr>
          <w:t>3</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59" w:history="1">
        <w:r w:rsidRPr="00300234">
          <w:rPr>
            <w:rStyle w:val="Enlla"/>
            <w:rFonts w:ascii="Arial" w:hAnsi="Arial" w:cs="Arial"/>
            <w:noProof/>
          </w:rPr>
          <w:t>2. Objecte, fases i propòsit de l’avaluació</w:t>
        </w:r>
        <w:r>
          <w:rPr>
            <w:noProof/>
            <w:webHidden/>
          </w:rPr>
          <w:tab/>
        </w:r>
        <w:r>
          <w:rPr>
            <w:noProof/>
            <w:webHidden/>
          </w:rPr>
          <w:fldChar w:fldCharType="begin"/>
        </w:r>
        <w:r>
          <w:rPr>
            <w:noProof/>
            <w:webHidden/>
          </w:rPr>
          <w:instrText xml:space="preserve"> PAGEREF _Toc14780359 \h </w:instrText>
        </w:r>
        <w:r>
          <w:rPr>
            <w:noProof/>
            <w:webHidden/>
          </w:rPr>
        </w:r>
        <w:r>
          <w:rPr>
            <w:noProof/>
            <w:webHidden/>
          </w:rPr>
          <w:fldChar w:fldCharType="separate"/>
        </w:r>
        <w:r>
          <w:rPr>
            <w:noProof/>
            <w:webHidden/>
          </w:rPr>
          <w:t>3</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0" w:history="1">
        <w:r w:rsidRPr="00300234">
          <w:rPr>
            <w:rStyle w:val="Enlla"/>
            <w:noProof/>
          </w:rPr>
          <w:t>2.1 Objecte de l’avaluació</w:t>
        </w:r>
        <w:r>
          <w:rPr>
            <w:noProof/>
            <w:webHidden/>
          </w:rPr>
          <w:tab/>
        </w:r>
        <w:r>
          <w:rPr>
            <w:noProof/>
            <w:webHidden/>
          </w:rPr>
          <w:fldChar w:fldCharType="begin"/>
        </w:r>
        <w:r>
          <w:rPr>
            <w:noProof/>
            <w:webHidden/>
          </w:rPr>
          <w:instrText xml:space="preserve"> PAGEREF _Toc14780360 \h </w:instrText>
        </w:r>
        <w:r>
          <w:rPr>
            <w:noProof/>
            <w:webHidden/>
          </w:rPr>
        </w:r>
        <w:r>
          <w:rPr>
            <w:noProof/>
            <w:webHidden/>
          </w:rPr>
          <w:fldChar w:fldCharType="separate"/>
        </w:r>
        <w:r>
          <w:rPr>
            <w:noProof/>
            <w:webHidden/>
          </w:rPr>
          <w:t>3</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1" w:history="1">
        <w:r w:rsidRPr="00300234">
          <w:rPr>
            <w:rStyle w:val="Enlla"/>
            <w:noProof/>
          </w:rPr>
          <w:t>2.2 Fases de l’avaluació</w:t>
        </w:r>
        <w:r>
          <w:rPr>
            <w:noProof/>
            <w:webHidden/>
          </w:rPr>
          <w:tab/>
        </w:r>
        <w:r>
          <w:rPr>
            <w:noProof/>
            <w:webHidden/>
          </w:rPr>
          <w:fldChar w:fldCharType="begin"/>
        </w:r>
        <w:r>
          <w:rPr>
            <w:noProof/>
            <w:webHidden/>
          </w:rPr>
          <w:instrText xml:space="preserve"> PAGEREF _Toc14780361 \h </w:instrText>
        </w:r>
        <w:r>
          <w:rPr>
            <w:noProof/>
            <w:webHidden/>
          </w:rPr>
        </w:r>
        <w:r>
          <w:rPr>
            <w:noProof/>
            <w:webHidden/>
          </w:rPr>
          <w:fldChar w:fldCharType="separate"/>
        </w:r>
        <w:r>
          <w:rPr>
            <w:noProof/>
            <w:webHidden/>
          </w:rPr>
          <w:t>3</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2" w:history="1">
        <w:r w:rsidRPr="00300234">
          <w:rPr>
            <w:rStyle w:val="Enlla"/>
            <w:noProof/>
          </w:rPr>
          <w:t>2.3 Propòsit de l’avaluació</w:t>
        </w:r>
        <w:r>
          <w:rPr>
            <w:noProof/>
            <w:webHidden/>
          </w:rPr>
          <w:tab/>
        </w:r>
        <w:r>
          <w:rPr>
            <w:noProof/>
            <w:webHidden/>
          </w:rPr>
          <w:fldChar w:fldCharType="begin"/>
        </w:r>
        <w:r>
          <w:rPr>
            <w:noProof/>
            <w:webHidden/>
          </w:rPr>
          <w:instrText xml:space="preserve"> PAGEREF _Toc14780362 \h </w:instrText>
        </w:r>
        <w:r>
          <w:rPr>
            <w:noProof/>
            <w:webHidden/>
          </w:rPr>
        </w:r>
        <w:r>
          <w:rPr>
            <w:noProof/>
            <w:webHidden/>
          </w:rPr>
          <w:fldChar w:fldCharType="separate"/>
        </w:r>
        <w:r>
          <w:rPr>
            <w:noProof/>
            <w:webHidden/>
          </w:rPr>
          <w:t>3</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63" w:history="1">
        <w:r w:rsidRPr="00300234">
          <w:rPr>
            <w:rStyle w:val="Enlla"/>
            <w:rFonts w:ascii="Arial" w:hAnsi="Arial" w:cs="Arial"/>
            <w:noProof/>
          </w:rPr>
          <w:t>3. Obligacions de transparència i informació subjecta a publicitat activa</w:t>
        </w:r>
        <w:r>
          <w:rPr>
            <w:noProof/>
            <w:webHidden/>
          </w:rPr>
          <w:tab/>
        </w:r>
        <w:r>
          <w:rPr>
            <w:noProof/>
            <w:webHidden/>
          </w:rPr>
          <w:fldChar w:fldCharType="begin"/>
        </w:r>
        <w:r>
          <w:rPr>
            <w:noProof/>
            <w:webHidden/>
          </w:rPr>
          <w:instrText xml:space="preserve"> PAGEREF _Toc14780363 \h </w:instrText>
        </w:r>
        <w:r>
          <w:rPr>
            <w:noProof/>
            <w:webHidden/>
          </w:rPr>
        </w:r>
        <w:r>
          <w:rPr>
            <w:noProof/>
            <w:webHidden/>
          </w:rPr>
          <w:fldChar w:fldCharType="separate"/>
        </w:r>
        <w:r>
          <w:rPr>
            <w:noProof/>
            <w:webHidden/>
          </w:rPr>
          <w:t>4</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4" w:history="1">
        <w:r w:rsidRPr="00300234">
          <w:rPr>
            <w:rStyle w:val="Enlla"/>
            <w:noProof/>
          </w:rPr>
          <w:t>3.1 Obligacions de transparència</w:t>
        </w:r>
        <w:r>
          <w:rPr>
            <w:noProof/>
            <w:webHidden/>
          </w:rPr>
          <w:tab/>
        </w:r>
        <w:r>
          <w:rPr>
            <w:noProof/>
            <w:webHidden/>
          </w:rPr>
          <w:fldChar w:fldCharType="begin"/>
        </w:r>
        <w:r>
          <w:rPr>
            <w:noProof/>
            <w:webHidden/>
          </w:rPr>
          <w:instrText xml:space="preserve"> PAGEREF _Toc14780364 \h </w:instrText>
        </w:r>
        <w:r>
          <w:rPr>
            <w:noProof/>
            <w:webHidden/>
          </w:rPr>
        </w:r>
        <w:r>
          <w:rPr>
            <w:noProof/>
            <w:webHidden/>
          </w:rPr>
          <w:fldChar w:fldCharType="separate"/>
        </w:r>
        <w:r>
          <w:rPr>
            <w:noProof/>
            <w:webHidden/>
          </w:rPr>
          <w:t>4</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5" w:history="1">
        <w:r w:rsidRPr="00300234">
          <w:rPr>
            <w:rStyle w:val="Enlla"/>
            <w:noProof/>
          </w:rPr>
          <w:t>3.2 Informació subjecta a publicitat activa al Portal de la Transparència</w:t>
        </w:r>
        <w:r>
          <w:rPr>
            <w:noProof/>
            <w:webHidden/>
          </w:rPr>
          <w:tab/>
        </w:r>
        <w:r>
          <w:rPr>
            <w:noProof/>
            <w:webHidden/>
          </w:rPr>
          <w:fldChar w:fldCharType="begin"/>
        </w:r>
        <w:r>
          <w:rPr>
            <w:noProof/>
            <w:webHidden/>
          </w:rPr>
          <w:instrText xml:space="preserve"> PAGEREF _Toc14780365 \h </w:instrText>
        </w:r>
        <w:r>
          <w:rPr>
            <w:noProof/>
            <w:webHidden/>
          </w:rPr>
        </w:r>
        <w:r>
          <w:rPr>
            <w:noProof/>
            <w:webHidden/>
          </w:rPr>
          <w:fldChar w:fldCharType="separate"/>
        </w:r>
        <w:r>
          <w:rPr>
            <w:noProof/>
            <w:webHidden/>
          </w:rPr>
          <w:t>4</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6" w:history="1">
        <w:r w:rsidRPr="00300234">
          <w:rPr>
            <w:rStyle w:val="Enlla"/>
            <w:noProof/>
          </w:rPr>
          <w:t>3.3 Criteris de publicitat activa vigents</w:t>
        </w:r>
        <w:r>
          <w:rPr>
            <w:noProof/>
            <w:webHidden/>
          </w:rPr>
          <w:tab/>
        </w:r>
        <w:r>
          <w:rPr>
            <w:noProof/>
            <w:webHidden/>
          </w:rPr>
          <w:fldChar w:fldCharType="begin"/>
        </w:r>
        <w:r>
          <w:rPr>
            <w:noProof/>
            <w:webHidden/>
          </w:rPr>
          <w:instrText xml:space="preserve"> PAGEREF _Toc14780366 \h </w:instrText>
        </w:r>
        <w:r>
          <w:rPr>
            <w:noProof/>
            <w:webHidden/>
          </w:rPr>
        </w:r>
        <w:r>
          <w:rPr>
            <w:noProof/>
            <w:webHidden/>
          </w:rPr>
          <w:fldChar w:fldCharType="separate"/>
        </w:r>
        <w:r>
          <w:rPr>
            <w:noProof/>
            <w:webHidden/>
          </w:rPr>
          <w:t>6</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7" w:history="1">
        <w:r w:rsidRPr="00300234">
          <w:rPr>
            <w:rStyle w:val="Enlla"/>
            <w:noProof/>
          </w:rPr>
          <w:t>3.4 Competències i responsabilitats de publicitat activa</w:t>
        </w:r>
        <w:r>
          <w:rPr>
            <w:noProof/>
            <w:webHidden/>
          </w:rPr>
          <w:tab/>
        </w:r>
        <w:r>
          <w:rPr>
            <w:noProof/>
            <w:webHidden/>
          </w:rPr>
          <w:fldChar w:fldCharType="begin"/>
        </w:r>
        <w:r>
          <w:rPr>
            <w:noProof/>
            <w:webHidden/>
          </w:rPr>
          <w:instrText xml:space="preserve"> PAGEREF _Toc14780367 \h </w:instrText>
        </w:r>
        <w:r>
          <w:rPr>
            <w:noProof/>
            <w:webHidden/>
          </w:rPr>
        </w:r>
        <w:r>
          <w:rPr>
            <w:noProof/>
            <w:webHidden/>
          </w:rPr>
          <w:fldChar w:fldCharType="separate"/>
        </w:r>
        <w:r>
          <w:rPr>
            <w:noProof/>
            <w:webHidden/>
          </w:rPr>
          <w:t>7</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68" w:history="1">
        <w:r w:rsidRPr="00300234">
          <w:rPr>
            <w:rStyle w:val="Enlla"/>
            <w:rFonts w:ascii="Arial" w:hAnsi="Arial" w:cs="Arial"/>
            <w:noProof/>
          </w:rPr>
          <w:t>4. Metodologia d’avaluació</w:t>
        </w:r>
        <w:r>
          <w:rPr>
            <w:noProof/>
            <w:webHidden/>
          </w:rPr>
          <w:tab/>
        </w:r>
        <w:r>
          <w:rPr>
            <w:noProof/>
            <w:webHidden/>
          </w:rPr>
          <w:fldChar w:fldCharType="begin"/>
        </w:r>
        <w:r>
          <w:rPr>
            <w:noProof/>
            <w:webHidden/>
          </w:rPr>
          <w:instrText xml:space="preserve"> PAGEREF _Toc14780368 \h </w:instrText>
        </w:r>
        <w:r>
          <w:rPr>
            <w:noProof/>
            <w:webHidden/>
          </w:rPr>
        </w:r>
        <w:r>
          <w:rPr>
            <w:noProof/>
            <w:webHidden/>
          </w:rPr>
          <w:fldChar w:fldCharType="separate"/>
        </w:r>
        <w:r>
          <w:rPr>
            <w:noProof/>
            <w:webHidden/>
          </w:rPr>
          <w:t>8</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69" w:history="1">
        <w:r w:rsidRPr="00300234">
          <w:rPr>
            <w:rStyle w:val="Enlla"/>
            <w:noProof/>
          </w:rPr>
          <w:t>4.1 Model d’avaluació</w:t>
        </w:r>
        <w:r>
          <w:rPr>
            <w:noProof/>
            <w:webHidden/>
          </w:rPr>
          <w:tab/>
        </w:r>
        <w:r>
          <w:rPr>
            <w:noProof/>
            <w:webHidden/>
          </w:rPr>
          <w:fldChar w:fldCharType="begin"/>
        </w:r>
        <w:r>
          <w:rPr>
            <w:noProof/>
            <w:webHidden/>
          </w:rPr>
          <w:instrText xml:space="preserve"> PAGEREF _Toc14780369 \h </w:instrText>
        </w:r>
        <w:r>
          <w:rPr>
            <w:noProof/>
            <w:webHidden/>
          </w:rPr>
        </w:r>
        <w:r>
          <w:rPr>
            <w:noProof/>
            <w:webHidden/>
          </w:rPr>
          <w:fldChar w:fldCharType="separate"/>
        </w:r>
        <w:r>
          <w:rPr>
            <w:noProof/>
            <w:webHidden/>
          </w:rPr>
          <w:t>8</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0" w:history="1">
        <w:r w:rsidRPr="00300234">
          <w:rPr>
            <w:rStyle w:val="Enlla"/>
            <w:noProof/>
          </w:rPr>
          <w:t>4.2 Indicadors d’avaluació</w:t>
        </w:r>
        <w:r>
          <w:rPr>
            <w:noProof/>
            <w:webHidden/>
          </w:rPr>
          <w:tab/>
        </w:r>
        <w:r>
          <w:rPr>
            <w:noProof/>
            <w:webHidden/>
          </w:rPr>
          <w:fldChar w:fldCharType="begin"/>
        </w:r>
        <w:r>
          <w:rPr>
            <w:noProof/>
            <w:webHidden/>
          </w:rPr>
          <w:instrText xml:space="preserve"> PAGEREF _Toc14780370 \h </w:instrText>
        </w:r>
        <w:r>
          <w:rPr>
            <w:noProof/>
            <w:webHidden/>
          </w:rPr>
        </w:r>
        <w:r>
          <w:rPr>
            <w:noProof/>
            <w:webHidden/>
          </w:rPr>
          <w:fldChar w:fldCharType="separate"/>
        </w:r>
        <w:r>
          <w:rPr>
            <w:noProof/>
            <w:webHidden/>
          </w:rPr>
          <w:t>8</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1" w:history="1">
        <w:r w:rsidRPr="00300234">
          <w:rPr>
            <w:rStyle w:val="Enlla"/>
            <w:noProof/>
          </w:rPr>
          <w:t>4.3 Ponderació dels indicadors d’avaluació</w:t>
        </w:r>
        <w:r>
          <w:rPr>
            <w:noProof/>
            <w:webHidden/>
          </w:rPr>
          <w:tab/>
        </w:r>
        <w:r>
          <w:rPr>
            <w:noProof/>
            <w:webHidden/>
          </w:rPr>
          <w:fldChar w:fldCharType="begin"/>
        </w:r>
        <w:r>
          <w:rPr>
            <w:noProof/>
            <w:webHidden/>
          </w:rPr>
          <w:instrText xml:space="preserve"> PAGEREF _Toc14780371 \h </w:instrText>
        </w:r>
        <w:r>
          <w:rPr>
            <w:noProof/>
            <w:webHidden/>
          </w:rPr>
        </w:r>
        <w:r>
          <w:rPr>
            <w:noProof/>
            <w:webHidden/>
          </w:rPr>
          <w:fldChar w:fldCharType="separate"/>
        </w:r>
        <w:r>
          <w:rPr>
            <w:noProof/>
            <w:webHidden/>
          </w:rPr>
          <w:t>9</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2" w:history="1">
        <w:r w:rsidRPr="00300234">
          <w:rPr>
            <w:rStyle w:val="Enlla"/>
            <w:noProof/>
          </w:rPr>
          <w:t>4.4 Execució de l’avaluació</w:t>
        </w:r>
        <w:r>
          <w:rPr>
            <w:noProof/>
            <w:webHidden/>
          </w:rPr>
          <w:tab/>
        </w:r>
        <w:r>
          <w:rPr>
            <w:noProof/>
            <w:webHidden/>
          </w:rPr>
          <w:fldChar w:fldCharType="begin"/>
        </w:r>
        <w:r>
          <w:rPr>
            <w:noProof/>
            <w:webHidden/>
          </w:rPr>
          <w:instrText xml:space="preserve"> PAGEREF _Toc14780372 \h </w:instrText>
        </w:r>
        <w:r>
          <w:rPr>
            <w:noProof/>
            <w:webHidden/>
          </w:rPr>
        </w:r>
        <w:r>
          <w:rPr>
            <w:noProof/>
            <w:webHidden/>
          </w:rPr>
          <w:fldChar w:fldCharType="separate"/>
        </w:r>
        <w:r>
          <w:rPr>
            <w:noProof/>
            <w:webHidden/>
          </w:rPr>
          <w:t>10</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73" w:history="1">
        <w:r w:rsidRPr="00300234">
          <w:rPr>
            <w:rStyle w:val="Enlla"/>
            <w:rFonts w:ascii="Arial" w:hAnsi="Arial" w:cs="Arial"/>
            <w:noProof/>
          </w:rPr>
          <w:t>5. Resultats de l’avaluació</w:t>
        </w:r>
        <w:r>
          <w:rPr>
            <w:noProof/>
            <w:webHidden/>
          </w:rPr>
          <w:tab/>
        </w:r>
        <w:r>
          <w:rPr>
            <w:noProof/>
            <w:webHidden/>
          </w:rPr>
          <w:fldChar w:fldCharType="begin"/>
        </w:r>
        <w:r>
          <w:rPr>
            <w:noProof/>
            <w:webHidden/>
          </w:rPr>
          <w:instrText xml:space="preserve"> PAGEREF _Toc14780373 \h </w:instrText>
        </w:r>
        <w:r>
          <w:rPr>
            <w:noProof/>
            <w:webHidden/>
          </w:rPr>
        </w:r>
        <w:r>
          <w:rPr>
            <w:noProof/>
            <w:webHidden/>
          </w:rPr>
          <w:fldChar w:fldCharType="separate"/>
        </w:r>
        <w:r>
          <w:rPr>
            <w:noProof/>
            <w:webHidden/>
          </w:rPr>
          <w:t>11</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4" w:history="1">
        <w:r w:rsidRPr="00300234">
          <w:rPr>
            <w:rStyle w:val="Enlla"/>
            <w:noProof/>
          </w:rPr>
          <w:t>5.1 Resultats de l’autoavaluació feta pels departaments i de l’avaluació feta per la STGO per apartats del Portal</w:t>
        </w:r>
        <w:r>
          <w:rPr>
            <w:noProof/>
            <w:webHidden/>
          </w:rPr>
          <w:tab/>
        </w:r>
        <w:r>
          <w:rPr>
            <w:noProof/>
            <w:webHidden/>
          </w:rPr>
          <w:fldChar w:fldCharType="begin"/>
        </w:r>
        <w:r>
          <w:rPr>
            <w:noProof/>
            <w:webHidden/>
          </w:rPr>
          <w:instrText xml:space="preserve"> PAGEREF _Toc14780374 \h </w:instrText>
        </w:r>
        <w:r>
          <w:rPr>
            <w:noProof/>
            <w:webHidden/>
          </w:rPr>
        </w:r>
        <w:r>
          <w:rPr>
            <w:noProof/>
            <w:webHidden/>
          </w:rPr>
          <w:fldChar w:fldCharType="separate"/>
        </w:r>
        <w:r>
          <w:rPr>
            <w:noProof/>
            <w:webHidden/>
          </w:rPr>
          <w:t>11</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5" w:history="1">
        <w:r w:rsidRPr="00300234">
          <w:rPr>
            <w:rStyle w:val="Enlla"/>
            <w:noProof/>
          </w:rPr>
          <w:t>5.2 Resultats globals de l’avaluació feta per la STGO</w:t>
        </w:r>
        <w:r>
          <w:rPr>
            <w:noProof/>
            <w:webHidden/>
          </w:rPr>
          <w:tab/>
        </w:r>
        <w:r>
          <w:rPr>
            <w:noProof/>
            <w:webHidden/>
          </w:rPr>
          <w:fldChar w:fldCharType="begin"/>
        </w:r>
        <w:r>
          <w:rPr>
            <w:noProof/>
            <w:webHidden/>
          </w:rPr>
          <w:instrText xml:space="preserve"> PAGEREF _Toc14780375 \h </w:instrText>
        </w:r>
        <w:r>
          <w:rPr>
            <w:noProof/>
            <w:webHidden/>
          </w:rPr>
        </w:r>
        <w:r>
          <w:rPr>
            <w:noProof/>
            <w:webHidden/>
          </w:rPr>
          <w:fldChar w:fldCharType="separate"/>
        </w:r>
        <w:r>
          <w:rPr>
            <w:noProof/>
            <w:webHidden/>
          </w:rPr>
          <w:t>12</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6" w:history="1">
        <w:r w:rsidRPr="00300234">
          <w:rPr>
            <w:rStyle w:val="Enlla"/>
            <w:noProof/>
          </w:rPr>
          <w:t>5.3 Resultats per apartats</w:t>
        </w:r>
        <w:r>
          <w:rPr>
            <w:noProof/>
            <w:webHidden/>
          </w:rPr>
          <w:tab/>
        </w:r>
        <w:r>
          <w:rPr>
            <w:noProof/>
            <w:webHidden/>
          </w:rPr>
          <w:fldChar w:fldCharType="begin"/>
        </w:r>
        <w:r>
          <w:rPr>
            <w:noProof/>
            <w:webHidden/>
          </w:rPr>
          <w:instrText xml:space="preserve"> PAGEREF _Toc14780376 \h </w:instrText>
        </w:r>
        <w:r>
          <w:rPr>
            <w:noProof/>
            <w:webHidden/>
          </w:rPr>
        </w:r>
        <w:r>
          <w:rPr>
            <w:noProof/>
            <w:webHidden/>
          </w:rPr>
          <w:fldChar w:fldCharType="separate"/>
        </w:r>
        <w:r>
          <w:rPr>
            <w:noProof/>
            <w:webHidden/>
          </w:rPr>
          <w:t>13</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7" w:history="1">
        <w:r w:rsidRPr="00300234">
          <w:rPr>
            <w:rStyle w:val="Enlla"/>
            <w:noProof/>
          </w:rPr>
          <w:t>5.3 Resultats en funció dels indicadors</w:t>
        </w:r>
        <w:r>
          <w:rPr>
            <w:noProof/>
            <w:webHidden/>
          </w:rPr>
          <w:tab/>
        </w:r>
        <w:r>
          <w:rPr>
            <w:noProof/>
            <w:webHidden/>
          </w:rPr>
          <w:fldChar w:fldCharType="begin"/>
        </w:r>
        <w:r>
          <w:rPr>
            <w:noProof/>
            <w:webHidden/>
          </w:rPr>
          <w:instrText xml:space="preserve"> PAGEREF _Toc14780377 \h </w:instrText>
        </w:r>
        <w:r>
          <w:rPr>
            <w:noProof/>
            <w:webHidden/>
          </w:rPr>
        </w:r>
        <w:r>
          <w:rPr>
            <w:noProof/>
            <w:webHidden/>
          </w:rPr>
          <w:fldChar w:fldCharType="separate"/>
        </w:r>
        <w:r>
          <w:rPr>
            <w:noProof/>
            <w:webHidden/>
          </w:rPr>
          <w:t>14</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78" w:history="1">
        <w:r w:rsidRPr="00300234">
          <w:rPr>
            <w:rStyle w:val="Enlla"/>
            <w:rFonts w:ascii="Arial" w:hAnsi="Arial" w:cs="Arial"/>
            <w:noProof/>
          </w:rPr>
          <w:t>6. Conclusions i recomanacions</w:t>
        </w:r>
        <w:r>
          <w:rPr>
            <w:noProof/>
            <w:webHidden/>
          </w:rPr>
          <w:tab/>
        </w:r>
        <w:r>
          <w:rPr>
            <w:noProof/>
            <w:webHidden/>
          </w:rPr>
          <w:fldChar w:fldCharType="begin"/>
        </w:r>
        <w:r>
          <w:rPr>
            <w:noProof/>
            <w:webHidden/>
          </w:rPr>
          <w:instrText xml:space="preserve"> PAGEREF _Toc14780378 \h </w:instrText>
        </w:r>
        <w:r>
          <w:rPr>
            <w:noProof/>
            <w:webHidden/>
          </w:rPr>
        </w:r>
        <w:r>
          <w:rPr>
            <w:noProof/>
            <w:webHidden/>
          </w:rPr>
          <w:fldChar w:fldCharType="separate"/>
        </w:r>
        <w:r>
          <w:rPr>
            <w:noProof/>
            <w:webHidden/>
          </w:rPr>
          <w:t>16</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79" w:history="1">
        <w:r w:rsidRPr="00300234">
          <w:rPr>
            <w:rStyle w:val="Enlla"/>
            <w:noProof/>
          </w:rPr>
          <w:t>6.1 Conclusions</w:t>
        </w:r>
        <w:r>
          <w:rPr>
            <w:noProof/>
            <w:webHidden/>
          </w:rPr>
          <w:tab/>
        </w:r>
        <w:r>
          <w:rPr>
            <w:noProof/>
            <w:webHidden/>
          </w:rPr>
          <w:fldChar w:fldCharType="begin"/>
        </w:r>
        <w:r>
          <w:rPr>
            <w:noProof/>
            <w:webHidden/>
          </w:rPr>
          <w:instrText xml:space="preserve"> PAGEREF _Toc14780379 \h </w:instrText>
        </w:r>
        <w:r>
          <w:rPr>
            <w:noProof/>
            <w:webHidden/>
          </w:rPr>
        </w:r>
        <w:r>
          <w:rPr>
            <w:noProof/>
            <w:webHidden/>
          </w:rPr>
          <w:fldChar w:fldCharType="separate"/>
        </w:r>
        <w:r>
          <w:rPr>
            <w:noProof/>
            <w:webHidden/>
          </w:rPr>
          <w:t>16</w:t>
        </w:r>
        <w:r>
          <w:rPr>
            <w:noProof/>
            <w:webHidden/>
          </w:rPr>
          <w:fldChar w:fldCharType="end"/>
        </w:r>
      </w:hyperlink>
    </w:p>
    <w:p w:rsidR="00D8104F" w:rsidRDefault="00D8104F">
      <w:pPr>
        <w:pStyle w:val="IDC3"/>
        <w:tabs>
          <w:tab w:val="right" w:leader="dot" w:pos="9061"/>
        </w:tabs>
        <w:rPr>
          <w:rFonts w:eastAsiaTheme="minorEastAsia"/>
          <w:noProof/>
          <w:lang w:eastAsia="ca-ES"/>
        </w:rPr>
      </w:pPr>
      <w:hyperlink w:anchor="_Toc14780380" w:history="1">
        <w:r w:rsidRPr="00300234">
          <w:rPr>
            <w:rStyle w:val="Enlla"/>
            <w:rFonts w:ascii="Arial" w:hAnsi="Arial" w:cs="Arial"/>
            <w:noProof/>
          </w:rPr>
          <w:t>6.1.1 Segons l’indicador Presentació</w:t>
        </w:r>
        <w:r>
          <w:rPr>
            <w:noProof/>
            <w:webHidden/>
          </w:rPr>
          <w:tab/>
        </w:r>
        <w:r>
          <w:rPr>
            <w:noProof/>
            <w:webHidden/>
          </w:rPr>
          <w:fldChar w:fldCharType="begin"/>
        </w:r>
        <w:r>
          <w:rPr>
            <w:noProof/>
            <w:webHidden/>
          </w:rPr>
          <w:instrText xml:space="preserve"> PAGEREF _Toc14780380 \h </w:instrText>
        </w:r>
        <w:r>
          <w:rPr>
            <w:noProof/>
            <w:webHidden/>
          </w:rPr>
        </w:r>
        <w:r>
          <w:rPr>
            <w:noProof/>
            <w:webHidden/>
          </w:rPr>
          <w:fldChar w:fldCharType="separate"/>
        </w:r>
        <w:r>
          <w:rPr>
            <w:noProof/>
            <w:webHidden/>
          </w:rPr>
          <w:t>16</w:t>
        </w:r>
        <w:r>
          <w:rPr>
            <w:noProof/>
            <w:webHidden/>
          </w:rPr>
          <w:fldChar w:fldCharType="end"/>
        </w:r>
      </w:hyperlink>
    </w:p>
    <w:p w:rsidR="00D8104F" w:rsidRDefault="00D8104F">
      <w:pPr>
        <w:pStyle w:val="IDC3"/>
        <w:tabs>
          <w:tab w:val="right" w:leader="dot" w:pos="9061"/>
        </w:tabs>
        <w:rPr>
          <w:rFonts w:eastAsiaTheme="minorEastAsia"/>
          <w:noProof/>
          <w:lang w:eastAsia="ca-ES"/>
        </w:rPr>
      </w:pPr>
      <w:hyperlink w:anchor="_Toc14780381" w:history="1">
        <w:r w:rsidRPr="00300234">
          <w:rPr>
            <w:rStyle w:val="Enlla"/>
            <w:rFonts w:ascii="Arial" w:hAnsi="Arial" w:cs="Arial"/>
            <w:noProof/>
          </w:rPr>
          <w:t>6.1.2 Segons l’indicador Accessibilitat</w:t>
        </w:r>
        <w:r>
          <w:rPr>
            <w:noProof/>
            <w:webHidden/>
          </w:rPr>
          <w:tab/>
        </w:r>
        <w:r>
          <w:rPr>
            <w:noProof/>
            <w:webHidden/>
          </w:rPr>
          <w:fldChar w:fldCharType="begin"/>
        </w:r>
        <w:r>
          <w:rPr>
            <w:noProof/>
            <w:webHidden/>
          </w:rPr>
          <w:instrText xml:space="preserve"> PAGEREF _Toc14780381 \h </w:instrText>
        </w:r>
        <w:r>
          <w:rPr>
            <w:noProof/>
            <w:webHidden/>
          </w:rPr>
        </w:r>
        <w:r>
          <w:rPr>
            <w:noProof/>
            <w:webHidden/>
          </w:rPr>
          <w:fldChar w:fldCharType="separate"/>
        </w:r>
        <w:r>
          <w:rPr>
            <w:noProof/>
            <w:webHidden/>
          </w:rPr>
          <w:t>16</w:t>
        </w:r>
        <w:r>
          <w:rPr>
            <w:noProof/>
            <w:webHidden/>
          </w:rPr>
          <w:fldChar w:fldCharType="end"/>
        </w:r>
      </w:hyperlink>
    </w:p>
    <w:p w:rsidR="00D8104F" w:rsidRDefault="00D8104F">
      <w:pPr>
        <w:pStyle w:val="IDC3"/>
        <w:tabs>
          <w:tab w:val="right" w:leader="dot" w:pos="9061"/>
        </w:tabs>
        <w:rPr>
          <w:rFonts w:eastAsiaTheme="minorEastAsia"/>
          <w:noProof/>
          <w:lang w:eastAsia="ca-ES"/>
        </w:rPr>
      </w:pPr>
      <w:hyperlink w:anchor="_Toc14780382" w:history="1">
        <w:r w:rsidRPr="00300234">
          <w:rPr>
            <w:rStyle w:val="Enlla"/>
            <w:rFonts w:ascii="Arial" w:hAnsi="Arial" w:cs="Arial"/>
            <w:noProof/>
          </w:rPr>
          <w:t>6.1.3 Segons l’indicador Contingut</w:t>
        </w:r>
        <w:r>
          <w:rPr>
            <w:noProof/>
            <w:webHidden/>
          </w:rPr>
          <w:tab/>
        </w:r>
        <w:r>
          <w:rPr>
            <w:noProof/>
            <w:webHidden/>
          </w:rPr>
          <w:fldChar w:fldCharType="begin"/>
        </w:r>
        <w:r>
          <w:rPr>
            <w:noProof/>
            <w:webHidden/>
          </w:rPr>
          <w:instrText xml:space="preserve"> PAGEREF _Toc14780382 \h </w:instrText>
        </w:r>
        <w:r>
          <w:rPr>
            <w:noProof/>
            <w:webHidden/>
          </w:rPr>
        </w:r>
        <w:r>
          <w:rPr>
            <w:noProof/>
            <w:webHidden/>
          </w:rPr>
          <w:fldChar w:fldCharType="separate"/>
        </w:r>
        <w:r>
          <w:rPr>
            <w:noProof/>
            <w:webHidden/>
          </w:rPr>
          <w:t>16</w:t>
        </w:r>
        <w:r>
          <w:rPr>
            <w:noProof/>
            <w:webHidden/>
          </w:rPr>
          <w:fldChar w:fldCharType="end"/>
        </w:r>
      </w:hyperlink>
    </w:p>
    <w:p w:rsidR="00D8104F" w:rsidRDefault="00D8104F">
      <w:pPr>
        <w:pStyle w:val="IDC3"/>
        <w:tabs>
          <w:tab w:val="right" w:leader="dot" w:pos="9061"/>
        </w:tabs>
        <w:rPr>
          <w:rFonts w:eastAsiaTheme="minorEastAsia"/>
          <w:noProof/>
          <w:lang w:eastAsia="ca-ES"/>
        </w:rPr>
      </w:pPr>
      <w:hyperlink w:anchor="_Toc14780383" w:history="1">
        <w:r w:rsidRPr="00300234">
          <w:rPr>
            <w:rStyle w:val="Enlla"/>
            <w:rFonts w:ascii="Arial" w:hAnsi="Arial" w:cs="Arial"/>
            <w:noProof/>
          </w:rPr>
          <w:t>6.1.4 Segons l’indicador Font, format i actualització</w:t>
        </w:r>
        <w:r>
          <w:rPr>
            <w:noProof/>
            <w:webHidden/>
          </w:rPr>
          <w:tab/>
        </w:r>
        <w:r>
          <w:rPr>
            <w:noProof/>
            <w:webHidden/>
          </w:rPr>
          <w:fldChar w:fldCharType="begin"/>
        </w:r>
        <w:r>
          <w:rPr>
            <w:noProof/>
            <w:webHidden/>
          </w:rPr>
          <w:instrText xml:space="preserve"> PAGEREF _Toc14780383 \h </w:instrText>
        </w:r>
        <w:r>
          <w:rPr>
            <w:noProof/>
            <w:webHidden/>
          </w:rPr>
        </w:r>
        <w:r>
          <w:rPr>
            <w:noProof/>
            <w:webHidden/>
          </w:rPr>
          <w:fldChar w:fldCharType="separate"/>
        </w:r>
        <w:r>
          <w:rPr>
            <w:noProof/>
            <w:webHidden/>
          </w:rPr>
          <w:t>17</w:t>
        </w:r>
        <w:r>
          <w:rPr>
            <w:noProof/>
            <w:webHidden/>
          </w:rPr>
          <w:fldChar w:fldCharType="end"/>
        </w:r>
      </w:hyperlink>
    </w:p>
    <w:p w:rsidR="00D8104F" w:rsidRDefault="00D8104F">
      <w:pPr>
        <w:pStyle w:val="IDC2"/>
        <w:rPr>
          <w:rFonts w:asciiTheme="minorHAnsi" w:eastAsiaTheme="minorEastAsia" w:hAnsiTheme="minorHAnsi" w:cstheme="minorBidi"/>
          <w:noProof/>
        </w:rPr>
      </w:pPr>
      <w:hyperlink w:anchor="_Toc14780384" w:history="1">
        <w:r w:rsidRPr="00300234">
          <w:rPr>
            <w:rStyle w:val="Enlla"/>
            <w:noProof/>
          </w:rPr>
          <w:t>6.2 Recomanacions</w:t>
        </w:r>
        <w:r>
          <w:rPr>
            <w:noProof/>
            <w:webHidden/>
          </w:rPr>
          <w:tab/>
        </w:r>
        <w:r>
          <w:rPr>
            <w:noProof/>
            <w:webHidden/>
          </w:rPr>
          <w:fldChar w:fldCharType="begin"/>
        </w:r>
        <w:r>
          <w:rPr>
            <w:noProof/>
            <w:webHidden/>
          </w:rPr>
          <w:instrText xml:space="preserve"> PAGEREF _Toc14780384 \h </w:instrText>
        </w:r>
        <w:r>
          <w:rPr>
            <w:noProof/>
            <w:webHidden/>
          </w:rPr>
        </w:r>
        <w:r>
          <w:rPr>
            <w:noProof/>
            <w:webHidden/>
          </w:rPr>
          <w:fldChar w:fldCharType="separate"/>
        </w:r>
        <w:r>
          <w:rPr>
            <w:noProof/>
            <w:webHidden/>
          </w:rPr>
          <w:t>17</w:t>
        </w:r>
        <w:r>
          <w:rPr>
            <w:noProof/>
            <w:webHidden/>
          </w:rPr>
          <w:fldChar w:fldCharType="end"/>
        </w:r>
      </w:hyperlink>
    </w:p>
    <w:p w:rsidR="00D8104F" w:rsidRDefault="00D8104F">
      <w:pPr>
        <w:pStyle w:val="IDC1"/>
        <w:tabs>
          <w:tab w:val="right" w:leader="dot" w:pos="9061"/>
        </w:tabs>
        <w:rPr>
          <w:rFonts w:eastAsiaTheme="minorEastAsia"/>
          <w:noProof/>
          <w:lang w:eastAsia="ca-ES"/>
        </w:rPr>
      </w:pPr>
      <w:hyperlink w:anchor="_Toc14780385" w:history="1">
        <w:r w:rsidRPr="00300234">
          <w:rPr>
            <w:rStyle w:val="Enlla"/>
            <w:rFonts w:ascii="Arial" w:hAnsi="Arial" w:cs="Arial"/>
            <w:noProof/>
          </w:rPr>
          <w:t>7. Annexos</w:t>
        </w:r>
        <w:r>
          <w:rPr>
            <w:noProof/>
            <w:webHidden/>
          </w:rPr>
          <w:tab/>
        </w:r>
        <w:r>
          <w:rPr>
            <w:noProof/>
            <w:webHidden/>
          </w:rPr>
          <w:fldChar w:fldCharType="begin"/>
        </w:r>
        <w:r>
          <w:rPr>
            <w:noProof/>
            <w:webHidden/>
          </w:rPr>
          <w:instrText xml:space="preserve"> PAGEREF _Toc14780385 \h </w:instrText>
        </w:r>
        <w:r>
          <w:rPr>
            <w:noProof/>
            <w:webHidden/>
          </w:rPr>
        </w:r>
        <w:r>
          <w:rPr>
            <w:noProof/>
            <w:webHidden/>
          </w:rPr>
          <w:fldChar w:fldCharType="separate"/>
        </w:r>
        <w:r>
          <w:rPr>
            <w:noProof/>
            <w:webHidden/>
          </w:rPr>
          <w:t>19</w:t>
        </w:r>
        <w:r>
          <w:rPr>
            <w:noProof/>
            <w:webHidden/>
          </w:rPr>
          <w:fldChar w:fldCharType="end"/>
        </w:r>
      </w:hyperlink>
    </w:p>
    <w:p w:rsidR="004E2AF2" w:rsidRPr="009A3B65" w:rsidRDefault="00FB761F" w:rsidP="00CA551F">
      <w:pPr>
        <w:spacing w:before="120" w:after="120"/>
        <w:jc w:val="both"/>
        <w:rPr>
          <w:rFonts w:cs="Arial"/>
        </w:rPr>
      </w:pPr>
      <w:r>
        <w:rPr>
          <w:rFonts w:cs="Arial"/>
        </w:rPr>
        <w:fldChar w:fldCharType="end"/>
      </w:r>
      <w:r w:rsidR="004E2AF2" w:rsidRPr="009A3B65">
        <w:rPr>
          <w:rFonts w:cs="Arial"/>
        </w:rPr>
        <w:br w:type="page"/>
      </w:r>
    </w:p>
    <w:p w:rsidR="00775613" w:rsidRDefault="00864714" w:rsidP="00864714">
      <w:pPr>
        <w:pStyle w:val="Ttol1"/>
        <w:spacing w:before="120" w:after="120" w:line="240" w:lineRule="auto"/>
        <w:jc w:val="both"/>
        <w:rPr>
          <w:rFonts w:ascii="Arial" w:hAnsi="Arial" w:cs="Arial"/>
        </w:rPr>
      </w:pPr>
      <w:bookmarkStart w:id="6" w:name="_Toc14780358"/>
      <w:r>
        <w:rPr>
          <w:rFonts w:ascii="Arial" w:hAnsi="Arial" w:cs="Arial"/>
        </w:rPr>
        <w:t xml:space="preserve">1. </w:t>
      </w:r>
      <w:r w:rsidR="000B62F7">
        <w:rPr>
          <w:rFonts w:ascii="Arial" w:hAnsi="Arial" w:cs="Arial"/>
        </w:rPr>
        <w:t>Introducció</w:t>
      </w:r>
      <w:bookmarkEnd w:id="6"/>
    </w:p>
    <w:p w:rsidR="00787E25" w:rsidRPr="009A3B65" w:rsidRDefault="00775613" w:rsidP="00CA551F">
      <w:pPr>
        <w:spacing w:before="120" w:after="120"/>
        <w:jc w:val="both"/>
        <w:rPr>
          <w:rFonts w:cs="Arial"/>
        </w:rPr>
      </w:pPr>
      <w:r w:rsidRPr="009A3B65">
        <w:rPr>
          <w:rFonts w:cs="Arial"/>
        </w:rPr>
        <w:t>La Llei 19/2014, del 29 de desembre, de Transparència, Accés a la Informació Pública i Bon Govern</w:t>
      </w:r>
      <w:r w:rsidR="00B82855" w:rsidRPr="009A3B65">
        <w:rPr>
          <w:rStyle w:val="Refernciadenotaapeudepgina"/>
          <w:rFonts w:cs="Arial"/>
        </w:rPr>
        <w:footnoteReference w:id="1"/>
      </w:r>
      <w:r w:rsidR="000C596A" w:rsidRPr="009A3B65">
        <w:rPr>
          <w:rFonts w:cs="Arial"/>
        </w:rPr>
        <w:t>, regula i garant</w:t>
      </w:r>
      <w:r w:rsidR="00A81C80">
        <w:rPr>
          <w:rFonts w:cs="Arial"/>
        </w:rPr>
        <w:t>e</w:t>
      </w:r>
      <w:r w:rsidR="000C596A" w:rsidRPr="009A3B65">
        <w:rPr>
          <w:rFonts w:cs="Arial"/>
        </w:rPr>
        <w:t>i</w:t>
      </w:r>
      <w:r w:rsidR="00A81C80">
        <w:rPr>
          <w:rFonts w:cs="Arial"/>
        </w:rPr>
        <w:t>x</w:t>
      </w:r>
      <w:r w:rsidR="000C596A" w:rsidRPr="009A3B65">
        <w:rPr>
          <w:rFonts w:cs="Arial"/>
        </w:rPr>
        <w:t xml:space="preserve"> la transparència de l’activitat pública</w:t>
      </w:r>
      <w:r w:rsidR="00A81C80" w:rsidRPr="009A3B65">
        <w:rPr>
          <w:rFonts w:cs="Arial"/>
        </w:rPr>
        <w:t>, entre d’altres</w:t>
      </w:r>
      <w:r w:rsidR="000F66F2">
        <w:rPr>
          <w:rFonts w:cs="Arial"/>
        </w:rPr>
        <w:t xml:space="preserve"> aspectes</w:t>
      </w:r>
      <w:r w:rsidR="000C596A" w:rsidRPr="009A3B65">
        <w:rPr>
          <w:rFonts w:cs="Arial"/>
        </w:rPr>
        <w:t>.</w:t>
      </w:r>
      <w:r w:rsidRPr="009A3B65">
        <w:rPr>
          <w:rFonts w:cs="Arial"/>
        </w:rPr>
        <w:t xml:space="preserve"> </w:t>
      </w:r>
    </w:p>
    <w:p w:rsidR="00787E25" w:rsidRPr="009A3B65" w:rsidRDefault="00A81C80" w:rsidP="00CA551F">
      <w:pPr>
        <w:spacing w:before="120" w:after="120"/>
        <w:jc w:val="both"/>
        <w:rPr>
          <w:rFonts w:cs="Arial"/>
        </w:rPr>
      </w:pPr>
      <w:r>
        <w:rPr>
          <w:rFonts w:cs="Arial"/>
        </w:rPr>
        <w:t xml:space="preserve">Així mateix, </w:t>
      </w:r>
      <w:r w:rsidR="000C596A" w:rsidRPr="009A3B65">
        <w:rPr>
          <w:rFonts w:cs="Arial"/>
        </w:rPr>
        <w:t>defineix la transparència com l’</w:t>
      </w:r>
      <w:r w:rsidR="00775613" w:rsidRPr="009A3B65">
        <w:rPr>
          <w:rFonts w:cs="Arial"/>
        </w:rPr>
        <w:t>acció proactiva d</w:t>
      </w:r>
      <w:r w:rsidR="000C596A" w:rsidRPr="009A3B65">
        <w:rPr>
          <w:rFonts w:cs="Arial"/>
        </w:rPr>
        <w:t>e l’Administració de</w:t>
      </w:r>
      <w:r w:rsidR="00775613" w:rsidRPr="009A3B65">
        <w:rPr>
          <w:rFonts w:cs="Arial"/>
        </w:rPr>
        <w:t xml:space="preserve"> donar a conèixer la informació relativa als seus àmbits d’actuació i </w:t>
      </w:r>
      <w:r w:rsidR="000C596A" w:rsidRPr="009A3B65">
        <w:rPr>
          <w:rFonts w:cs="Arial"/>
        </w:rPr>
        <w:t>les seves obligacions</w:t>
      </w:r>
      <w:r w:rsidR="00775613" w:rsidRPr="009A3B65">
        <w:rPr>
          <w:rFonts w:cs="Arial"/>
        </w:rPr>
        <w:t xml:space="preserve">, amb caràcter permanent i actualitzat, de la manera que resulti més comprensible per a les persones i per mitjà dels instruments de difusió que permetin un accés ampli i fàcil a les dades i facilitin la participació en els assumptes públics. </w:t>
      </w:r>
    </w:p>
    <w:p w:rsidR="00775613" w:rsidRDefault="00DE7676" w:rsidP="00CA551F">
      <w:pPr>
        <w:spacing w:before="120" w:after="120"/>
        <w:jc w:val="both"/>
        <w:rPr>
          <w:rFonts w:cs="Arial"/>
        </w:rPr>
      </w:pPr>
      <w:r w:rsidRPr="009A3B65">
        <w:rPr>
          <w:rFonts w:cs="Arial"/>
        </w:rPr>
        <w:t>Tan</w:t>
      </w:r>
      <w:r w:rsidR="000C596A" w:rsidRPr="009A3B65">
        <w:rPr>
          <w:rFonts w:cs="Arial"/>
        </w:rPr>
        <w:t>mateix, defineix la publicitat activa com el deure dels subjectes obligats de fer públics, d’ofici, els continguts d’informació pública que determina el capítol II del títol II</w:t>
      </w:r>
      <w:r w:rsidR="000F66F2">
        <w:rPr>
          <w:rStyle w:val="Refernciadenotaapeudepgina"/>
          <w:rFonts w:cs="Arial"/>
        </w:rPr>
        <w:footnoteReference w:id="2"/>
      </w:r>
      <w:r w:rsidR="000C596A" w:rsidRPr="009A3B65">
        <w:rPr>
          <w:rFonts w:cs="Arial"/>
        </w:rPr>
        <w:t>.</w:t>
      </w:r>
    </w:p>
    <w:p w:rsidR="00A81C80" w:rsidRPr="009A3B65" w:rsidRDefault="008C5074" w:rsidP="00A81C80">
      <w:pPr>
        <w:spacing w:before="120" w:after="120"/>
        <w:jc w:val="both"/>
        <w:rPr>
          <w:rFonts w:cs="Arial"/>
        </w:rPr>
      </w:pPr>
      <w:r>
        <w:rPr>
          <w:rFonts w:cs="Arial"/>
        </w:rPr>
        <w:t xml:space="preserve">La Llei estableix les obligacions de transparència mínimes i generals, i obliga a </w:t>
      </w:r>
      <w:r w:rsidR="00A81C80" w:rsidRPr="009A3B65">
        <w:rPr>
          <w:rFonts w:cs="Arial"/>
        </w:rPr>
        <w:t>establir procediments basats en indicadors objectius per a avaluar</w:t>
      </w:r>
      <w:r>
        <w:rPr>
          <w:rFonts w:cs="Arial"/>
        </w:rPr>
        <w:t>-ne</w:t>
      </w:r>
      <w:r w:rsidR="00A81C80" w:rsidRPr="009A3B65">
        <w:rPr>
          <w:rFonts w:cs="Arial"/>
        </w:rPr>
        <w:t xml:space="preserve"> el compliment.</w:t>
      </w:r>
    </w:p>
    <w:p w:rsidR="00A95AF5" w:rsidRDefault="000A41E2" w:rsidP="00CA551F">
      <w:pPr>
        <w:spacing w:before="120" w:after="120"/>
        <w:jc w:val="both"/>
        <w:rPr>
          <w:rFonts w:cs="Arial"/>
        </w:rPr>
      </w:pPr>
      <w:r>
        <w:rPr>
          <w:rFonts w:cs="Arial"/>
        </w:rPr>
        <w:t xml:space="preserve">Aquest informe </w:t>
      </w:r>
      <w:r w:rsidR="004C3BEA">
        <w:rPr>
          <w:rFonts w:cs="Arial"/>
        </w:rPr>
        <w:t xml:space="preserve">fa un resum de la metodologia emprada i </w:t>
      </w:r>
      <w:r>
        <w:rPr>
          <w:rFonts w:cs="Arial"/>
        </w:rPr>
        <w:t>presenta els resultats</w:t>
      </w:r>
      <w:r w:rsidR="004C3BEA">
        <w:rPr>
          <w:rFonts w:cs="Arial"/>
        </w:rPr>
        <w:t xml:space="preserve">, les conclusions i recomanacions </w:t>
      </w:r>
      <w:r>
        <w:rPr>
          <w:rFonts w:cs="Arial"/>
        </w:rPr>
        <w:t>de l’avaluació realitzada aquest any.</w:t>
      </w:r>
    </w:p>
    <w:p w:rsidR="000A41E2" w:rsidRPr="009A3B65" w:rsidRDefault="000A41E2" w:rsidP="00CA551F">
      <w:pPr>
        <w:spacing w:before="120" w:after="120"/>
        <w:jc w:val="both"/>
        <w:rPr>
          <w:rFonts w:cs="Arial"/>
        </w:rPr>
      </w:pPr>
    </w:p>
    <w:p w:rsidR="00775613" w:rsidRDefault="000B62F7" w:rsidP="000B62F7">
      <w:pPr>
        <w:pStyle w:val="Ttol1"/>
        <w:spacing w:before="120" w:after="120" w:line="240" w:lineRule="auto"/>
        <w:jc w:val="both"/>
        <w:rPr>
          <w:rFonts w:ascii="Arial" w:hAnsi="Arial" w:cs="Arial"/>
        </w:rPr>
      </w:pPr>
      <w:bookmarkStart w:id="7" w:name="_Toc442864023"/>
      <w:bookmarkStart w:id="8" w:name="_Toc14780359"/>
      <w:r w:rsidRPr="000B62F7">
        <w:rPr>
          <w:rFonts w:ascii="Arial" w:hAnsi="Arial" w:cs="Arial"/>
        </w:rPr>
        <w:t>2.</w:t>
      </w:r>
      <w:r w:rsidR="00775613" w:rsidRPr="000B62F7">
        <w:rPr>
          <w:rFonts w:ascii="Arial" w:hAnsi="Arial" w:cs="Arial"/>
        </w:rPr>
        <w:t xml:space="preserve"> </w:t>
      </w:r>
      <w:r w:rsidR="004E1E62" w:rsidRPr="000B62F7">
        <w:rPr>
          <w:rFonts w:ascii="Arial" w:hAnsi="Arial" w:cs="Arial"/>
        </w:rPr>
        <w:t>Objecte</w:t>
      </w:r>
      <w:r w:rsidR="002577BA">
        <w:rPr>
          <w:rFonts w:ascii="Arial" w:hAnsi="Arial" w:cs="Arial"/>
        </w:rPr>
        <w:t>,</w:t>
      </w:r>
      <w:r w:rsidR="003E4864" w:rsidRPr="000B62F7">
        <w:rPr>
          <w:rFonts w:ascii="Arial" w:hAnsi="Arial" w:cs="Arial"/>
        </w:rPr>
        <w:t xml:space="preserve"> fases</w:t>
      </w:r>
      <w:r w:rsidR="002577BA">
        <w:rPr>
          <w:rFonts w:ascii="Arial" w:hAnsi="Arial" w:cs="Arial"/>
        </w:rPr>
        <w:t xml:space="preserve"> i propòsit</w:t>
      </w:r>
      <w:r w:rsidR="00775613" w:rsidRPr="000B62F7">
        <w:rPr>
          <w:rFonts w:ascii="Arial" w:hAnsi="Arial" w:cs="Arial"/>
        </w:rPr>
        <w:t xml:space="preserve"> de l’avaluació</w:t>
      </w:r>
      <w:bookmarkEnd w:id="7"/>
      <w:bookmarkEnd w:id="8"/>
    </w:p>
    <w:p w:rsidR="002577BA" w:rsidRPr="002577BA" w:rsidRDefault="002577BA" w:rsidP="002577BA"/>
    <w:p w:rsidR="002577BA" w:rsidRPr="002577BA" w:rsidRDefault="00B90A6B" w:rsidP="002577BA">
      <w:pPr>
        <w:pStyle w:val="Ttol2"/>
        <w:rPr>
          <w:rFonts w:ascii="Arial" w:hAnsi="Arial" w:cs="Arial"/>
        </w:rPr>
      </w:pPr>
      <w:bookmarkStart w:id="9" w:name="_Toc14780360"/>
      <w:r>
        <w:rPr>
          <w:rFonts w:ascii="Arial" w:hAnsi="Arial" w:cs="Arial"/>
        </w:rPr>
        <w:t>2</w:t>
      </w:r>
      <w:r w:rsidR="002577BA" w:rsidRPr="002577BA">
        <w:rPr>
          <w:rFonts w:ascii="Arial" w:hAnsi="Arial" w:cs="Arial"/>
        </w:rPr>
        <w:t>.1 Objecte</w:t>
      </w:r>
      <w:r w:rsidR="002577BA">
        <w:rPr>
          <w:rFonts w:ascii="Arial" w:hAnsi="Arial" w:cs="Arial"/>
        </w:rPr>
        <w:t xml:space="preserve"> de l’avaluació</w:t>
      </w:r>
      <w:bookmarkEnd w:id="9"/>
    </w:p>
    <w:p w:rsidR="0071141B" w:rsidRDefault="00775613" w:rsidP="00CA551F">
      <w:pPr>
        <w:spacing w:before="120" w:after="120"/>
        <w:jc w:val="both"/>
        <w:rPr>
          <w:rFonts w:cs="Arial"/>
        </w:rPr>
      </w:pPr>
      <w:r w:rsidRPr="009A3B65">
        <w:rPr>
          <w:rFonts w:cs="Arial"/>
        </w:rPr>
        <w:t>L’objecte d</w:t>
      </w:r>
      <w:r w:rsidR="00BC448A">
        <w:rPr>
          <w:rFonts w:cs="Arial"/>
        </w:rPr>
        <w:t>e l’</w:t>
      </w:r>
      <w:r w:rsidRPr="009A3B65">
        <w:rPr>
          <w:rFonts w:cs="Arial"/>
        </w:rPr>
        <w:t>avaluació</w:t>
      </w:r>
      <w:r w:rsidR="00BC448A">
        <w:rPr>
          <w:rFonts w:cs="Arial"/>
        </w:rPr>
        <w:t xml:space="preserve"> realitzada</w:t>
      </w:r>
      <w:r w:rsidR="00442A64">
        <w:rPr>
          <w:rFonts w:cs="Arial"/>
        </w:rPr>
        <w:t xml:space="preserve"> ha estat el compliment de</w:t>
      </w:r>
      <w:r w:rsidRPr="009A3B65">
        <w:rPr>
          <w:rFonts w:cs="Arial"/>
        </w:rPr>
        <w:t xml:space="preserve"> </w:t>
      </w:r>
      <w:r w:rsidR="00442A64" w:rsidRPr="009A3B65">
        <w:rPr>
          <w:rFonts w:cs="Arial"/>
        </w:rPr>
        <w:t xml:space="preserve">les obligacions de transparència establertes </w:t>
      </w:r>
      <w:r w:rsidR="00442A64">
        <w:rPr>
          <w:rFonts w:cs="Arial"/>
        </w:rPr>
        <w:t>en</w:t>
      </w:r>
      <w:r w:rsidR="00442A64" w:rsidRPr="009A3B65">
        <w:rPr>
          <w:rFonts w:cs="Arial"/>
        </w:rPr>
        <w:t xml:space="preserve"> la Llei en relació amb</w:t>
      </w:r>
      <w:r w:rsidR="004E1E62" w:rsidRPr="009A3B65">
        <w:rPr>
          <w:rFonts w:cs="Arial"/>
        </w:rPr>
        <w:t xml:space="preserve"> la informació </w:t>
      </w:r>
      <w:r w:rsidR="00442A64">
        <w:rPr>
          <w:rFonts w:cs="Arial"/>
        </w:rPr>
        <w:t>subjecta a publicitat activa</w:t>
      </w:r>
      <w:r w:rsidR="004E1E62" w:rsidRPr="009A3B65">
        <w:rPr>
          <w:rFonts w:cs="Arial"/>
        </w:rPr>
        <w:t xml:space="preserve"> </w:t>
      </w:r>
      <w:r w:rsidR="00442A64" w:rsidRPr="009A3B65">
        <w:rPr>
          <w:rFonts w:cs="Arial"/>
        </w:rPr>
        <w:t>continguda</w:t>
      </w:r>
      <w:r w:rsidR="00442A64">
        <w:rPr>
          <w:rFonts w:cs="Arial"/>
        </w:rPr>
        <w:t xml:space="preserve"> </w:t>
      </w:r>
      <w:r w:rsidR="004E1E62" w:rsidRPr="009A3B65">
        <w:rPr>
          <w:rFonts w:cs="Arial"/>
        </w:rPr>
        <w:t>en</w:t>
      </w:r>
      <w:r w:rsidRPr="009A3B65">
        <w:rPr>
          <w:rFonts w:cs="Arial"/>
        </w:rPr>
        <w:t xml:space="preserve"> el Portal de Transparència de la Generalitat </w:t>
      </w:r>
      <w:r w:rsidR="00A309CB" w:rsidRPr="009A3B65">
        <w:rPr>
          <w:rFonts w:cs="Arial"/>
        </w:rPr>
        <w:t>de Catalunya</w:t>
      </w:r>
      <w:r w:rsidR="00B7596E">
        <w:rPr>
          <w:rFonts w:cs="Arial"/>
        </w:rPr>
        <w:t>: transparència.gencat.cat</w:t>
      </w:r>
      <w:r w:rsidR="00A309CB" w:rsidRPr="009A3B65">
        <w:rPr>
          <w:rFonts w:cs="Arial"/>
        </w:rPr>
        <w:t xml:space="preserve"> </w:t>
      </w:r>
      <w:r w:rsidRPr="009A3B65">
        <w:rPr>
          <w:rFonts w:cs="Arial"/>
        </w:rPr>
        <w:t>(</w:t>
      </w:r>
      <w:hyperlink r:id="rId11" w:history="1">
        <w:r w:rsidR="0071141B" w:rsidRPr="009A3B65">
          <w:rPr>
            <w:rStyle w:val="Enlla"/>
            <w:rFonts w:cs="Arial"/>
          </w:rPr>
          <w:t>http://governobert.gencat.cat/ca/transparencia/</w:t>
        </w:r>
      </w:hyperlink>
      <w:r w:rsidRPr="009A3B65">
        <w:rPr>
          <w:rFonts w:cs="Arial"/>
        </w:rPr>
        <w:t>)</w:t>
      </w:r>
      <w:r w:rsidR="00442A64">
        <w:rPr>
          <w:rFonts w:cs="Arial"/>
        </w:rPr>
        <w:t>.</w:t>
      </w:r>
    </w:p>
    <w:p w:rsidR="002577BA" w:rsidRDefault="002577BA" w:rsidP="00CA551F">
      <w:pPr>
        <w:spacing w:before="120" w:after="120"/>
        <w:jc w:val="both"/>
        <w:rPr>
          <w:rFonts w:cs="Arial"/>
        </w:rPr>
      </w:pPr>
    </w:p>
    <w:p w:rsidR="002577BA" w:rsidRPr="002577BA" w:rsidRDefault="00B90A6B" w:rsidP="00206981">
      <w:pPr>
        <w:pStyle w:val="Ttol2"/>
        <w:jc w:val="both"/>
        <w:rPr>
          <w:rFonts w:ascii="Arial" w:hAnsi="Arial" w:cs="Arial"/>
        </w:rPr>
      </w:pPr>
      <w:bookmarkStart w:id="10" w:name="_Toc14780361"/>
      <w:r>
        <w:rPr>
          <w:rFonts w:ascii="Arial" w:hAnsi="Arial" w:cs="Arial"/>
        </w:rPr>
        <w:t>2</w:t>
      </w:r>
      <w:r w:rsidR="002577BA" w:rsidRPr="002577BA">
        <w:rPr>
          <w:rFonts w:ascii="Arial" w:hAnsi="Arial" w:cs="Arial"/>
        </w:rPr>
        <w:t>.2 Fases de l’avaluació</w:t>
      </w:r>
      <w:bookmarkEnd w:id="10"/>
    </w:p>
    <w:p w:rsidR="007260C2" w:rsidRPr="009A3B65" w:rsidRDefault="007260C2" w:rsidP="00CA551F">
      <w:pPr>
        <w:spacing w:before="120" w:after="120"/>
        <w:jc w:val="both"/>
        <w:rPr>
          <w:rFonts w:cs="Arial"/>
        </w:rPr>
      </w:pPr>
      <w:r w:rsidRPr="009A3B65">
        <w:rPr>
          <w:rFonts w:cs="Arial"/>
        </w:rPr>
        <w:t>L’avaluació</w:t>
      </w:r>
      <w:r w:rsidR="00E619E7">
        <w:rPr>
          <w:rFonts w:cs="Arial"/>
        </w:rPr>
        <w:t xml:space="preserve"> s’ha</w:t>
      </w:r>
      <w:r w:rsidR="001B1AA8">
        <w:rPr>
          <w:rFonts w:cs="Arial"/>
        </w:rPr>
        <w:t xml:space="preserve"> desenvolupat en dues fases</w:t>
      </w:r>
      <w:r w:rsidR="00BC448A">
        <w:rPr>
          <w:rFonts w:cs="Arial"/>
        </w:rPr>
        <w:t xml:space="preserve">, entre els mesos de </w:t>
      </w:r>
      <w:r w:rsidR="001B1AA8">
        <w:rPr>
          <w:rFonts w:cs="Arial"/>
        </w:rPr>
        <w:t>maig i juliol de 2019. En la primera</w:t>
      </w:r>
      <w:r w:rsidR="00BC448A">
        <w:rPr>
          <w:rFonts w:cs="Arial"/>
        </w:rPr>
        <w:t xml:space="preserve"> fase</w:t>
      </w:r>
      <w:r w:rsidR="001B1AA8">
        <w:rPr>
          <w:rFonts w:cs="Arial"/>
        </w:rPr>
        <w:t xml:space="preserve">, els departaments han fet una autoavaluació </w:t>
      </w:r>
      <w:r w:rsidR="00BC448A">
        <w:rPr>
          <w:rFonts w:cs="Arial"/>
        </w:rPr>
        <w:t xml:space="preserve">respecte </w:t>
      </w:r>
      <w:r w:rsidR="001B1AA8">
        <w:rPr>
          <w:rFonts w:cs="Arial"/>
        </w:rPr>
        <w:t>de la informació qu</w:t>
      </w:r>
      <w:r w:rsidR="000F5D7D">
        <w:rPr>
          <w:rFonts w:cs="Arial"/>
        </w:rPr>
        <w:t>e</w:t>
      </w:r>
      <w:r w:rsidR="001B1AA8">
        <w:rPr>
          <w:rFonts w:cs="Arial"/>
        </w:rPr>
        <w:t xml:space="preserve"> son responsables</w:t>
      </w:r>
      <w:r w:rsidR="000F5D7D">
        <w:rPr>
          <w:rFonts w:cs="Arial"/>
        </w:rPr>
        <w:t xml:space="preserve"> de mantenir i publicar</w:t>
      </w:r>
      <w:r w:rsidR="00347528">
        <w:rPr>
          <w:rFonts w:cs="Arial"/>
        </w:rPr>
        <w:t xml:space="preserve"> als seus webs</w:t>
      </w:r>
      <w:r w:rsidR="001B1AA8">
        <w:rPr>
          <w:rFonts w:cs="Arial"/>
        </w:rPr>
        <w:t xml:space="preserve">. En la segona fase, la </w:t>
      </w:r>
      <w:r w:rsidR="001B1AA8" w:rsidRPr="009A3B65">
        <w:rPr>
          <w:rFonts w:cs="Arial"/>
        </w:rPr>
        <w:t>Secretaria de Transparència i Govern</w:t>
      </w:r>
      <w:r w:rsidR="001B1AA8">
        <w:rPr>
          <w:rFonts w:cs="Arial"/>
        </w:rPr>
        <w:t xml:space="preserve"> </w:t>
      </w:r>
      <w:r w:rsidR="001B1AA8" w:rsidRPr="009A3B65">
        <w:rPr>
          <w:rFonts w:cs="Arial"/>
        </w:rPr>
        <w:t>Obert</w:t>
      </w:r>
      <w:r w:rsidR="001B1AA8">
        <w:rPr>
          <w:rFonts w:cs="Arial"/>
        </w:rPr>
        <w:t xml:space="preserve"> ha </w:t>
      </w:r>
      <w:r w:rsidR="00BC448A">
        <w:rPr>
          <w:rFonts w:cs="Arial"/>
        </w:rPr>
        <w:t>revis</w:t>
      </w:r>
      <w:r w:rsidR="000F5D7D">
        <w:rPr>
          <w:rFonts w:cs="Arial"/>
        </w:rPr>
        <w:t>at</w:t>
      </w:r>
      <w:r w:rsidR="00BC448A">
        <w:rPr>
          <w:rFonts w:cs="Arial"/>
        </w:rPr>
        <w:t xml:space="preserve"> dels resultats tramesos pels departaments i </w:t>
      </w:r>
      <w:r w:rsidR="000F5D7D">
        <w:rPr>
          <w:rFonts w:cs="Arial"/>
        </w:rPr>
        <w:t xml:space="preserve">n’ha fet </w:t>
      </w:r>
      <w:r w:rsidR="001B1AA8">
        <w:rPr>
          <w:rFonts w:cs="Arial"/>
        </w:rPr>
        <w:t>una</w:t>
      </w:r>
      <w:r w:rsidR="00BC448A">
        <w:rPr>
          <w:rFonts w:cs="Arial"/>
        </w:rPr>
        <w:t xml:space="preserve"> nova</w:t>
      </w:r>
      <w:r w:rsidR="001B1AA8">
        <w:rPr>
          <w:rFonts w:cs="Arial"/>
        </w:rPr>
        <w:t xml:space="preserve"> avaluació</w:t>
      </w:r>
      <w:r w:rsidRPr="009A3B65">
        <w:rPr>
          <w:rFonts w:cs="Arial"/>
        </w:rPr>
        <w:t>.</w:t>
      </w:r>
    </w:p>
    <w:p w:rsidR="00775613" w:rsidRPr="009A3B65" w:rsidRDefault="00775613" w:rsidP="00CA551F">
      <w:pPr>
        <w:spacing w:before="120" w:after="120"/>
        <w:jc w:val="both"/>
        <w:rPr>
          <w:rFonts w:cs="Arial"/>
        </w:rPr>
      </w:pPr>
    </w:p>
    <w:p w:rsidR="00775613" w:rsidRPr="009A3B65" w:rsidRDefault="00B90A6B" w:rsidP="00CA551F">
      <w:pPr>
        <w:pStyle w:val="Ttol2"/>
        <w:spacing w:before="120" w:after="120" w:line="240" w:lineRule="auto"/>
        <w:jc w:val="both"/>
        <w:rPr>
          <w:rFonts w:ascii="Arial" w:hAnsi="Arial" w:cs="Arial"/>
        </w:rPr>
      </w:pPr>
      <w:bookmarkStart w:id="11" w:name="_Toc442864024"/>
      <w:bookmarkStart w:id="12" w:name="_Toc14780362"/>
      <w:r>
        <w:rPr>
          <w:rFonts w:ascii="Arial" w:hAnsi="Arial" w:cs="Arial"/>
        </w:rPr>
        <w:t>2</w:t>
      </w:r>
      <w:r w:rsidR="00E62A2A">
        <w:rPr>
          <w:rFonts w:ascii="Arial" w:hAnsi="Arial" w:cs="Arial"/>
        </w:rPr>
        <w:t>.</w:t>
      </w:r>
      <w:r w:rsidR="00222F08">
        <w:rPr>
          <w:rFonts w:ascii="Arial" w:hAnsi="Arial" w:cs="Arial"/>
        </w:rPr>
        <w:t>3</w:t>
      </w:r>
      <w:r w:rsidR="00775613" w:rsidRPr="009A3B65">
        <w:rPr>
          <w:rFonts w:ascii="Arial" w:hAnsi="Arial" w:cs="Arial"/>
        </w:rPr>
        <w:t xml:space="preserve"> </w:t>
      </w:r>
      <w:r w:rsidR="009B447D" w:rsidRPr="009A3B65">
        <w:rPr>
          <w:rFonts w:ascii="Arial" w:hAnsi="Arial" w:cs="Arial"/>
        </w:rPr>
        <w:t>Propòsit</w:t>
      </w:r>
      <w:r w:rsidR="00775613" w:rsidRPr="009A3B65">
        <w:rPr>
          <w:rFonts w:ascii="Arial" w:hAnsi="Arial" w:cs="Arial"/>
        </w:rPr>
        <w:t xml:space="preserve"> de l’avaluació</w:t>
      </w:r>
      <w:bookmarkEnd w:id="11"/>
      <w:bookmarkEnd w:id="12"/>
    </w:p>
    <w:p w:rsidR="009B781E" w:rsidRDefault="009B447D" w:rsidP="00CA551F">
      <w:pPr>
        <w:spacing w:before="120" w:after="120"/>
        <w:jc w:val="both"/>
        <w:rPr>
          <w:rFonts w:cs="Arial"/>
        </w:rPr>
      </w:pPr>
      <w:r w:rsidRPr="009A3B65">
        <w:rPr>
          <w:rFonts w:cs="Arial"/>
        </w:rPr>
        <w:t>El propòsit</w:t>
      </w:r>
      <w:r w:rsidR="00B82855" w:rsidRPr="009A3B65">
        <w:rPr>
          <w:rFonts w:cs="Arial"/>
        </w:rPr>
        <w:t xml:space="preserve"> principal de l’avaluació és </w:t>
      </w:r>
      <w:r w:rsidR="00A81C80">
        <w:rPr>
          <w:rFonts w:cs="Arial"/>
        </w:rPr>
        <w:t xml:space="preserve">conèixer quin grau de </w:t>
      </w:r>
      <w:r w:rsidR="00A81C80" w:rsidRPr="009A3B65">
        <w:rPr>
          <w:rFonts w:cs="Arial"/>
        </w:rPr>
        <w:t>compliment de les obligacions de transparència</w:t>
      </w:r>
      <w:r w:rsidR="00A81C80">
        <w:rPr>
          <w:rFonts w:cs="Arial"/>
        </w:rPr>
        <w:t xml:space="preserve"> estem assolint, tant quantitativament com qualitativa.</w:t>
      </w:r>
      <w:r w:rsidR="00A81C80" w:rsidRPr="009A3B65">
        <w:rPr>
          <w:rFonts w:cs="Arial"/>
        </w:rPr>
        <w:t xml:space="preserve"> </w:t>
      </w:r>
    </w:p>
    <w:p w:rsidR="00267303" w:rsidRPr="009A3B65" w:rsidRDefault="00267303" w:rsidP="00CA551F">
      <w:pPr>
        <w:spacing w:before="120" w:after="120"/>
        <w:jc w:val="both"/>
        <w:rPr>
          <w:rFonts w:cs="Arial"/>
        </w:rPr>
      </w:pPr>
      <w:r w:rsidRPr="009A3B65">
        <w:rPr>
          <w:rFonts w:cs="Arial"/>
        </w:rPr>
        <w:t xml:space="preserve">L’avaluació, a més, vol servir per detectar quines mancances hi ha, i quines accions de millora es poden </w:t>
      </w:r>
      <w:r w:rsidR="00C96339">
        <w:rPr>
          <w:rFonts w:cs="Arial"/>
        </w:rPr>
        <w:t>dur a terme</w:t>
      </w:r>
      <w:r w:rsidRPr="009A3B65">
        <w:rPr>
          <w:rFonts w:cs="Arial"/>
        </w:rPr>
        <w:t xml:space="preserve"> per corregir-les.</w:t>
      </w:r>
    </w:p>
    <w:p w:rsidR="006D7B67" w:rsidRDefault="006D7B67" w:rsidP="00CA551F">
      <w:pPr>
        <w:spacing w:before="120" w:after="120"/>
        <w:jc w:val="both"/>
        <w:rPr>
          <w:rFonts w:cs="Arial"/>
        </w:rPr>
      </w:pPr>
    </w:p>
    <w:p w:rsidR="0093272B" w:rsidRDefault="0093272B" w:rsidP="0093272B">
      <w:pPr>
        <w:pStyle w:val="Ttol1"/>
        <w:jc w:val="both"/>
        <w:rPr>
          <w:rFonts w:ascii="Arial" w:hAnsi="Arial" w:cs="Arial"/>
        </w:rPr>
      </w:pPr>
      <w:bookmarkStart w:id="13" w:name="_Toc14780363"/>
      <w:r w:rsidRPr="0093272B">
        <w:rPr>
          <w:rFonts w:ascii="Arial" w:hAnsi="Arial" w:cs="Arial"/>
        </w:rPr>
        <w:t>3.</w:t>
      </w:r>
      <w:r>
        <w:rPr>
          <w:rFonts w:ascii="Arial" w:hAnsi="Arial" w:cs="Arial"/>
        </w:rPr>
        <w:t xml:space="preserve"> </w:t>
      </w:r>
      <w:r w:rsidR="001A36F0" w:rsidRPr="00222F08">
        <w:rPr>
          <w:rFonts w:ascii="Arial" w:hAnsi="Arial" w:cs="Arial"/>
        </w:rPr>
        <w:t>Obligacions de transparència</w:t>
      </w:r>
      <w:r>
        <w:rPr>
          <w:rFonts w:ascii="Arial" w:hAnsi="Arial" w:cs="Arial"/>
        </w:rPr>
        <w:t xml:space="preserve"> i informació subjecta a publicitat activa</w:t>
      </w:r>
      <w:bookmarkEnd w:id="13"/>
    </w:p>
    <w:p w:rsidR="0093272B" w:rsidRPr="0093272B" w:rsidRDefault="0093272B" w:rsidP="0093272B"/>
    <w:p w:rsidR="001A36F0" w:rsidRPr="0093272B" w:rsidRDefault="0093272B" w:rsidP="0093272B">
      <w:pPr>
        <w:pStyle w:val="Ttol2"/>
        <w:rPr>
          <w:rFonts w:ascii="Arial" w:hAnsi="Arial" w:cs="Arial"/>
        </w:rPr>
      </w:pPr>
      <w:bookmarkStart w:id="14" w:name="_Toc14780364"/>
      <w:r w:rsidRPr="0093272B">
        <w:rPr>
          <w:rFonts w:ascii="Arial" w:hAnsi="Arial" w:cs="Arial"/>
        </w:rPr>
        <w:t>3.1 Obligacions de transparència</w:t>
      </w:r>
      <w:bookmarkEnd w:id="14"/>
      <w:r w:rsidRPr="0093272B">
        <w:rPr>
          <w:rFonts w:ascii="Arial" w:hAnsi="Arial" w:cs="Arial"/>
        </w:rPr>
        <w:t xml:space="preserve"> </w:t>
      </w:r>
    </w:p>
    <w:p w:rsidR="001A36F0" w:rsidRDefault="001A36F0" w:rsidP="001A36F0">
      <w:pPr>
        <w:spacing w:before="120" w:after="120"/>
        <w:jc w:val="both"/>
        <w:rPr>
          <w:rFonts w:cs="Arial"/>
        </w:rPr>
      </w:pPr>
      <w:r>
        <w:rPr>
          <w:rFonts w:cs="Arial"/>
        </w:rPr>
        <w:t>L</w:t>
      </w:r>
      <w:r w:rsidRPr="009A3B65">
        <w:rPr>
          <w:rFonts w:cs="Arial"/>
        </w:rPr>
        <w:t xml:space="preserve">a Llei de Transparència determina les </w:t>
      </w:r>
      <w:r w:rsidRPr="00785D6E">
        <w:rPr>
          <w:rFonts w:cs="Arial"/>
          <w:b/>
        </w:rPr>
        <w:t>obligacions de transparència</w:t>
      </w:r>
      <w:r w:rsidRPr="009A3B65">
        <w:rPr>
          <w:rFonts w:cs="Arial"/>
        </w:rPr>
        <w:t xml:space="preserve"> </w:t>
      </w:r>
      <w:r>
        <w:rPr>
          <w:rFonts w:cs="Arial"/>
        </w:rPr>
        <w:t>següents:</w:t>
      </w:r>
    </w:p>
    <w:p w:rsidR="001A36F0" w:rsidRPr="00785D6E" w:rsidRDefault="001A36F0" w:rsidP="001A36F0">
      <w:pPr>
        <w:spacing w:after="120"/>
        <w:jc w:val="both"/>
        <w:rPr>
          <w:rFonts w:cs="Arial"/>
        </w:rPr>
      </w:pPr>
      <w:r w:rsidRPr="008A4E6C">
        <w:rPr>
          <w:rFonts w:cs="Arial"/>
        </w:rPr>
        <w:t xml:space="preserve">- </w:t>
      </w:r>
      <w:r w:rsidRPr="00785D6E">
        <w:rPr>
          <w:rFonts w:cs="Arial"/>
        </w:rPr>
        <w:t>Difondre la informació pública d’interès general de manera veraç i objectiva.</w:t>
      </w:r>
    </w:p>
    <w:p w:rsidR="001A36F0" w:rsidRPr="00785D6E" w:rsidRDefault="001A36F0" w:rsidP="001A36F0">
      <w:pPr>
        <w:spacing w:after="120"/>
        <w:jc w:val="both"/>
        <w:rPr>
          <w:rFonts w:cs="Arial"/>
        </w:rPr>
      </w:pPr>
      <w:r w:rsidRPr="00785D6E">
        <w:rPr>
          <w:rFonts w:cs="Arial"/>
        </w:rPr>
        <w:t>- Garantir que la informació anterior es difon de manera constant i s’actualitza permanentment.</w:t>
      </w:r>
    </w:p>
    <w:p w:rsidR="001A36F0" w:rsidRPr="00785D6E" w:rsidRDefault="001A36F0" w:rsidP="001A36F0">
      <w:pPr>
        <w:spacing w:after="120"/>
        <w:jc w:val="both"/>
        <w:rPr>
          <w:rFonts w:cs="Arial"/>
        </w:rPr>
      </w:pPr>
      <w:r w:rsidRPr="00785D6E">
        <w:rPr>
          <w:rFonts w:cs="Arial"/>
        </w:rPr>
        <w:t xml:space="preserve">- Organitzar la informació de forma que sigui fàcilment accessible i comprensible per </w:t>
      </w:r>
      <w:r>
        <w:rPr>
          <w:rFonts w:cs="Arial"/>
        </w:rPr>
        <w:t xml:space="preserve">a </w:t>
      </w:r>
      <w:r w:rsidRPr="00785D6E">
        <w:rPr>
          <w:rFonts w:cs="Arial"/>
        </w:rPr>
        <w:t>les persones, i que en faciliti una consulta àgil i ràpida per mitjà d’instruments de cerca.</w:t>
      </w:r>
    </w:p>
    <w:p w:rsidR="001A36F0" w:rsidRPr="00785D6E" w:rsidRDefault="001A36F0" w:rsidP="001A36F0">
      <w:pPr>
        <w:spacing w:after="120"/>
        <w:jc w:val="both"/>
        <w:rPr>
          <w:rFonts w:cs="Arial"/>
        </w:rPr>
      </w:pPr>
      <w:r w:rsidRPr="00785D6E">
        <w:rPr>
          <w:rFonts w:cs="Arial"/>
        </w:rPr>
        <w:t>- Ordenar temàticament la informació perquè sigui fàcil i intuïtiva de localitzar, com a mínim, amb criteris temàtics i cronològics, seguint el quadre de classificació documental i incorporant-hi índexs o guies de consulta.</w:t>
      </w:r>
    </w:p>
    <w:p w:rsidR="001A36F0" w:rsidRPr="00785D6E" w:rsidRDefault="001A36F0" w:rsidP="001A36F0">
      <w:pPr>
        <w:spacing w:after="120"/>
        <w:jc w:val="both"/>
        <w:rPr>
          <w:rFonts w:cs="Arial"/>
        </w:rPr>
      </w:pPr>
      <w:r w:rsidRPr="00785D6E">
        <w:rPr>
          <w:rFonts w:cs="Arial"/>
        </w:rPr>
        <w:t>- Facilitar la consulta de la informació amb l’ús de mitjans informàtics en formats fàcilment comprensibles i que permetin la interoperabilitat i la reutilització.</w:t>
      </w:r>
    </w:p>
    <w:p w:rsidR="001A36F0" w:rsidRDefault="001A36F0" w:rsidP="00CA551F">
      <w:pPr>
        <w:spacing w:before="120" w:after="120"/>
        <w:jc w:val="both"/>
        <w:rPr>
          <w:rFonts w:cs="Arial"/>
        </w:rPr>
      </w:pPr>
    </w:p>
    <w:p w:rsidR="00206981" w:rsidRPr="0093272B" w:rsidRDefault="0093272B" w:rsidP="0093272B">
      <w:pPr>
        <w:pStyle w:val="Ttol2"/>
        <w:rPr>
          <w:rFonts w:ascii="Arial" w:hAnsi="Arial" w:cs="Arial"/>
        </w:rPr>
      </w:pPr>
      <w:bookmarkStart w:id="15" w:name="_Toc438658771"/>
      <w:bookmarkStart w:id="16" w:name="_Toc442864027"/>
      <w:bookmarkStart w:id="17" w:name="_Toc14780365"/>
      <w:r w:rsidRPr="0093272B">
        <w:rPr>
          <w:rFonts w:ascii="Arial" w:hAnsi="Arial" w:cs="Arial"/>
        </w:rPr>
        <w:t>3</w:t>
      </w:r>
      <w:r w:rsidR="00206981" w:rsidRPr="0093272B">
        <w:rPr>
          <w:rFonts w:ascii="Arial" w:hAnsi="Arial" w:cs="Arial"/>
        </w:rPr>
        <w:t>.</w:t>
      </w:r>
      <w:r w:rsidRPr="0093272B">
        <w:rPr>
          <w:rFonts w:ascii="Arial" w:hAnsi="Arial" w:cs="Arial"/>
        </w:rPr>
        <w:t>2</w:t>
      </w:r>
      <w:r w:rsidR="00206981" w:rsidRPr="0093272B">
        <w:rPr>
          <w:rFonts w:ascii="Arial" w:hAnsi="Arial" w:cs="Arial"/>
        </w:rPr>
        <w:t xml:space="preserve"> </w:t>
      </w:r>
      <w:bookmarkEnd w:id="15"/>
      <w:bookmarkEnd w:id="16"/>
      <w:r w:rsidR="00206981" w:rsidRPr="0093272B">
        <w:rPr>
          <w:rFonts w:ascii="Arial" w:hAnsi="Arial" w:cs="Arial"/>
        </w:rPr>
        <w:t>Informació subjecta a publicitat activa al Portal de la Transparència</w:t>
      </w:r>
      <w:bookmarkEnd w:id="17"/>
    </w:p>
    <w:p w:rsidR="00206981" w:rsidRDefault="00206981" w:rsidP="00206981">
      <w:pPr>
        <w:spacing w:before="120" w:after="120"/>
        <w:jc w:val="both"/>
        <w:rPr>
          <w:rFonts w:cs="Arial"/>
        </w:rPr>
      </w:pPr>
      <w:r w:rsidRPr="009A3B65">
        <w:rPr>
          <w:rFonts w:cs="Arial"/>
        </w:rPr>
        <w:t>El Portal de Transparència es</w:t>
      </w:r>
      <w:r>
        <w:rPr>
          <w:rFonts w:cs="Arial"/>
        </w:rPr>
        <w:t>tà</w:t>
      </w:r>
      <w:r w:rsidRPr="009A3B65">
        <w:rPr>
          <w:rFonts w:cs="Arial"/>
        </w:rPr>
        <w:t xml:space="preserve"> organitza</w:t>
      </w:r>
      <w:r>
        <w:rPr>
          <w:rFonts w:cs="Arial"/>
        </w:rPr>
        <w:t>t</w:t>
      </w:r>
      <w:r w:rsidRPr="009A3B65">
        <w:rPr>
          <w:rFonts w:cs="Arial"/>
        </w:rPr>
        <w:t xml:space="preserve"> de manera similar a la organització </w:t>
      </w:r>
      <w:r>
        <w:rPr>
          <w:rFonts w:cs="Arial"/>
        </w:rPr>
        <w:t xml:space="preserve">que consta a </w:t>
      </w:r>
      <w:r w:rsidRPr="009A3B65">
        <w:rPr>
          <w:rFonts w:cs="Arial"/>
        </w:rPr>
        <w:t>la Llei de Transparència</w:t>
      </w:r>
      <w:r>
        <w:rPr>
          <w:rFonts w:cs="Arial"/>
        </w:rPr>
        <w:t xml:space="preserve"> quant als apartats subjectes a publicitat activa</w:t>
      </w:r>
      <w:r w:rsidRPr="009A3B65">
        <w:rPr>
          <w:rFonts w:cs="Arial"/>
        </w:rPr>
        <w:t xml:space="preserve">. Per realitzar l’avaluació s’ha pres </w:t>
      </w:r>
      <w:r>
        <w:rPr>
          <w:rFonts w:cs="Arial"/>
        </w:rPr>
        <w:t>l’</w:t>
      </w:r>
      <w:r w:rsidRPr="009A3B65">
        <w:rPr>
          <w:rFonts w:cs="Arial"/>
        </w:rPr>
        <w:t>or</w:t>
      </w:r>
      <w:r>
        <w:rPr>
          <w:rFonts w:cs="Arial"/>
        </w:rPr>
        <w:t>denació actual</w:t>
      </w:r>
      <w:r w:rsidRPr="009A3B65">
        <w:rPr>
          <w:rFonts w:cs="Arial"/>
        </w:rPr>
        <w:t xml:space="preserve"> del Portal de Transparència</w:t>
      </w:r>
      <w:r>
        <w:rPr>
          <w:rFonts w:cs="Arial"/>
        </w:rPr>
        <w:t xml:space="preserve"> </w:t>
      </w:r>
      <w:r w:rsidRPr="009A3B65">
        <w:rPr>
          <w:rFonts w:cs="Arial"/>
        </w:rPr>
        <w:t>en apartats, subapartats i epígrafs. Els epígrafs són la unitat d’informació més petita</w:t>
      </w:r>
      <w:r>
        <w:rPr>
          <w:rFonts w:cs="Arial"/>
        </w:rPr>
        <w:t xml:space="preserve"> corresponent a informació subjecta a publicitat</w:t>
      </w:r>
      <w:r w:rsidRPr="009A3B65">
        <w:rPr>
          <w:rFonts w:cs="Arial"/>
        </w:rPr>
        <w:t>. Normalment són una pàgina dins el Portal que mostra els enllaços a la informació</w:t>
      </w:r>
      <w:r>
        <w:rPr>
          <w:rFonts w:cs="Arial"/>
        </w:rPr>
        <w:t>.</w:t>
      </w:r>
      <w:r w:rsidRPr="009A3B65">
        <w:rPr>
          <w:rFonts w:cs="Arial"/>
        </w:rPr>
        <w:t xml:space="preserve"> </w:t>
      </w:r>
      <w:r>
        <w:rPr>
          <w:rFonts w:cs="Arial"/>
        </w:rPr>
        <w:t>C</w:t>
      </w:r>
      <w:r w:rsidRPr="009A3B65">
        <w:rPr>
          <w:rFonts w:cs="Arial"/>
        </w:rPr>
        <w:t xml:space="preserve">ada epígraf té assignat un o més departaments responsables del seu contingut i ha d’enllaçar a una informació concreta. </w:t>
      </w:r>
    </w:p>
    <w:p w:rsidR="00206981" w:rsidRPr="009A3B65" w:rsidRDefault="00206981" w:rsidP="00206981">
      <w:pPr>
        <w:spacing w:before="120" w:after="120"/>
        <w:jc w:val="both"/>
        <w:rPr>
          <w:rFonts w:cs="Arial"/>
        </w:rPr>
      </w:pPr>
      <w:r>
        <w:rPr>
          <w:rFonts w:cs="Arial"/>
        </w:rPr>
        <w:t>El Portal de Transparència</w:t>
      </w:r>
      <w:r w:rsidRPr="009A3B65">
        <w:rPr>
          <w:rFonts w:cs="Arial"/>
        </w:rPr>
        <w:t xml:space="preserve"> és un portal viu i per tant subjecte a canvis i millores</w:t>
      </w:r>
      <w:r>
        <w:rPr>
          <w:rFonts w:cs="Arial"/>
        </w:rPr>
        <w:t>, sempre que sigui necessari</w:t>
      </w:r>
      <w:r w:rsidRPr="009A3B65">
        <w:rPr>
          <w:rFonts w:cs="Arial"/>
        </w:rPr>
        <w:t>, com</w:t>
      </w:r>
      <w:r>
        <w:rPr>
          <w:rFonts w:cs="Arial"/>
        </w:rPr>
        <w:t xml:space="preserve"> per exemple poden ser</w:t>
      </w:r>
      <w:r w:rsidRPr="009A3B65">
        <w:rPr>
          <w:rFonts w:cs="Arial"/>
        </w:rPr>
        <w:t xml:space="preserve"> el canvi de denominació d’apartats, subapartats o epígrafs, en ordre a fer-los més comprensibles, o la creació de nous, per la inclusió de matèries més sol·licitades per la via del dret d’accés a la informació</w:t>
      </w:r>
      <w:r>
        <w:rPr>
          <w:rFonts w:cs="Arial"/>
        </w:rPr>
        <w:t xml:space="preserve"> o d’interès general</w:t>
      </w:r>
      <w:r w:rsidRPr="009A3B65">
        <w:rPr>
          <w:rFonts w:cs="Arial"/>
        </w:rPr>
        <w:t>.</w:t>
      </w:r>
    </w:p>
    <w:p w:rsidR="00206981" w:rsidRPr="009A3B65" w:rsidRDefault="00206981" w:rsidP="00206981">
      <w:pPr>
        <w:spacing w:before="120" w:after="120"/>
        <w:jc w:val="both"/>
        <w:rPr>
          <w:rFonts w:cs="Arial"/>
        </w:rPr>
      </w:pPr>
      <w:r w:rsidRPr="009A3B65">
        <w:rPr>
          <w:rFonts w:cs="Arial"/>
        </w:rPr>
        <w:t>Actualment, el Portal de Transparència s’organitza en vuit (8) apartats, cinquanta-tres (53) subapartats i cent dinou (119) epígrafs. Cal tenir en compte que a l’hora de</w:t>
      </w:r>
      <w:r>
        <w:rPr>
          <w:rFonts w:cs="Arial"/>
        </w:rPr>
        <w:t xml:space="preserve"> computar el nombre d’epígrafs, </w:t>
      </w:r>
      <w:r w:rsidRPr="009A3B65">
        <w:rPr>
          <w:rFonts w:cs="Arial"/>
        </w:rPr>
        <w:t xml:space="preserve">aquells subapartats que no tenen epígrafs per sota, els considerem també </w:t>
      </w:r>
      <w:r>
        <w:rPr>
          <w:rFonts w:cs="Arial"/>
        </w:rPr>
        <w:t xml:space="preserve">com a </w:t>
      </w:r>
      <w:r w:rsidRPr="009A3B65">
        <w:rPr>
          <w:rFonts w:cs="Arial"/>
        </w:rPr>
        <w:t xml:space="preserve">epígrafs. </w:t>
      </w:r>
    </w:p>
    <w:p w:rsidR="00206981" w:rsidRDefault="00206981" w:rsidP="00206981">
      <w:pPr>
        <w:spacing w:before="120" w:after="120"/>
        <w:jc w:val="both"/>
        <w:rPr>
          <w:rFonts w:cs="Arial"/>
        </w:rPr>
      </w:pPr>
      <w:r w:rsidRPr="009A3B65">
        <w:rPr>
          <w:rFonts w:cs="Arial"/>
        </w:rPr>
        <w:t>L’</w:t>
      </w:r>
      <w:r w:rsidRPr="009A3B65">
        <w:rPr>
          <w:rFonts w:cs="Arial"/>
          <w:b/>
        </w:rPr>
        <w:t xml:space="preserve">organització actual </w:t>
      </w:r>
      <w:r>
        <w:rPr>
          <w:rFonts w:cs="Arial"/>
          <w:b/>
        </w:rPr>
        <w:t xml:space="preserve">del Portal </w:t>
      </w:r>
      <w:r w:rsidRPr="009A3B65">
        <w:rPr>
          <w:rFonts w:cs="Arial"/>
        </w:rPr>
        <w:t xml:space="preserve">es mostra en la taula següent. Els apartats són els que apareixen en lletra blanca amb fons vermell. Els subapartats apareixen en lletra negra amb fons vermell clar. </w:t>
      </w:r>
      <w:r>
        <w:rPr>
          <w:rFonts w:cs="Arial"/>
        </w:rPr>
        <w:t xml:space="preserve">Entre </w:t>
      </w:r>
      <w:r w:rsidRPr="009A3B65">
        <w:rPr>
          <w:rFonts w:cs="Arial"/>
        </w:rPr>
        <w:t>parèntesi</w:t>
      </w:r>
      <w:r>
        <w:rPr>
          <w:rFonts w:cs="Arial"/>
        </w:rPr>
        <w:t>, s’hi indica el nombre d’</w:t>
      </w:r>
      <w:r w:rsidRPr="009A3B65">
        <w:rPr>
          <w:rFonts w:cs="Arial"/>
        </w:rPr>
        <w:t>epígrafs</w:t>
      </w:r>
      <w:r>
        <w:rPr>
          <w:rFonts w:cs="Arial"/>
        </w:rPr>
        <w:t xml:space="preserve"> per apartat i subapartat</w:t>
      </w:r>
      <w:r w:rsidRPr="009A3B65">
        <w:rPr>
          <w:rFonts w:cs="Arial"/>
        </w:rPr>
        <w:t>.</w:t>
      </w:r>
    </w:p>
    <w:p w:rsidR="00E54E06" w:rsidRDefault="00E54E06" w:rsidP="00206981">
      <w:pPr>
        <w:spacing w:before="120" w:after="120"/>
        <w:jc w:val="both"/>
        <w:rPr>
          <w:rFonts w:cs="Arial"/>
        </w:rPr>
      </w:pPr>
    </w:p>
    <w:p w:rsidR="00FF7288" w:rsidRDefault="00FF7288" w:rsidP="00206981">
      <w:pPr>
        <w:spacing w:before="120" w:after="120"/>
        <w:jc w:val="both"/>
        <w:rPr>
          <w:rFonts w:cs="Arial"/>
        </w:rPr>
      </w:pPr>
    </w:p>
    <w:p w:rsidR="00FF7288" w:rsidRDefault="00FF7288" w:rsidP="00206981">
      <w:pPr>
        <w:spacing w:before="120" w:after="120"/>
        <w:jc w:val="both"/>
        <w:rPr>
          <w:rFonts w:cs="Arial"/>
        </w:rPr>
      </w:pPr>
    </w:p>
    <w:p w:rsidR="00FF7288" w:rsidRDefault="00FF7288" w:rsidP="00206981">
      <w:pPr>
        <w:spacing w:before="120" w:after="120"/>
        <w:jc w:val="both"/>
        <w:rPr>
          <w:rFonts w:cs="Arial"/>
        </w:rPr>
      </w:pPr>
    </w:p>
    <w:p w:rsidR="00FF7288" w:rsidRDefault="00FF7288" w:rsidP="00206981">
      <w:pPr>
        <w:spacing w:before="120" w:after="120"/>
        <w:jc w:val="both"/>
        <w:rPr>
          <w:rFonts w:cs="Arial"/>
        </w:rPr>
      </w:pPr>
    </w:p>
    <w:p w:rsidR="00E54E06" w:rsidRPr="005A7B71" w:rsidRDefault="00E54E06" w:rsidP="00206981">
      <w:pPr>
        <w:spacing w:before="120" w:after="120"/>
        <w:jc w:val="both"/>
        <w:rPr>
          <w:rFonts w:cs="Arial"/>
          <w:b/>
        </w:rPr>
      </w:pPr>
      <w:r w:rsidRPr="005A7B71">
        <w:rPr>
          <w:rFonts w:cs="Arial"/>
          <w:b/>
        </w:rPr>
        <w:t>Taula 1. Organització actual del Portal de la Transparència</w:t>
      </w:r>
    </w:p>
    <w:tbl>
      <w:tblPr>
        <w:tblStyle w:val="Taulaambquadrcula4-mfasi51"/>
        <w:tblW w:w="93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0"/>
        <w:gridCol w:w="3024"/>
        <w:gridCol w:w="3355"/>
      </w:tblGrid>
      <w:tr w:rsidR="00206981" w:rsidRPr="009A3B65" w:rsidTr="0001780D">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930" w:type="dxa"/>
            <w:tcBorders>
              <w:top w:val="none" w:sz="0" w:space="0" w:color="auto"/>
              <w:left w:val="none" w:sz="0" w:space="0" w:color="auto"/>
              <w:bottom w:val="none" w:sz="0" w:space="0" w:color="auto"/>
              <w:right w:val="none" w:sz="0" w:space="0" w:color="auto"/>
            </w:tcBorders>
            <w:shd w:val="clear" w:color="auto" w:fill="C00000"/>
          </w:tcPr>
          <w:p w:rsidR="00206981" w:rsidRPr="009A3B65" w:rsidRDefault="00206981" w:rsidP="0001780D">
            <w:pPr>
              <w:jc w:val="both"/>
              <w:rPr>
                <w:rFonts w:cs="Arial"/>
                <w:sz w:val="18"/>
                <w:szCs w:val="18"/>
              </w:rPr>
            </w:pPr>
            <w:r w:rsidRPr="009A3B65">
              <w:rPr>
                <w:rFonts w:cs="Arial"/>
                <w:sz w:val="18"/>
                <w:szCs w:val="18"/>
              </w:rPr>
              <w:t>Organització i normativa (1</w:t>
            </w:r>
            <w:r>
              <w:rPr>
                <w:rFonts w:cs="Arial"/>
                <w:sz w:val="18"/>
                <w:szCs w:val="18"/>
              </w:rPr>
              <w:t>5</w:t>
            </w:r>
            <w:r w:rsidRPr="009A3B65">
              <w:rPr>
                <w:rFonts w:cs="Arial"/>
                <w:sz w:val="18"/>
                <w:szCs w:val="18"/>
              </w:rPr>
              <w:t>)</w:t>
            </w:r>
          </w:p>
        </w:tc>
        <w:tc>
          <w:tcPr>
            <w:tcW w:w="3024" w:type="dxa"/>
            <w:tcBorders>
              <w:top w:val="none" w:sz="0" w:space="0" w:color="auto"/>
              <w:left w:val="none" w:sz="0" w:space="0" w:color="auto"/>
              <w:bottom w:val="none" w:sz="0" w:space="0" w:color="auto"/>
              <w:right w:val="none" w:sz="0" w:space="0" w:color="auto"/>
            </w:tcBorders>
            <w:shd w:val="clear" w:color="auto" w:fill="C00000"/>
          </w:tcPr>
          <w:p w:rsidR="00206981" w:rsidRPr="009A3B65" w:rsidRDefault="00206981" w:rsidP="0001780D">
            <w:pPr>
              <w:jc w:val="both"/>
              <w:cnfStyle w:val="100000000000" w:firstRow="1"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Economia i finances (1</w:t>
            </w:r>
            <w:r>
              <w:rPr>
                <w:rFonts w:cs="Arial"/>
                <w:sz w:val="18"/>
                <w:szCs w:val="18"/>
              </w:rPr>
              <w:t>2</w:t>
            </w:r>
            <w:r w:rsidRPr="009A3B65">
              <w:rPr>
                <w:rFonts w:cs="Arial"/>
                <w:sz w:val="18"/>
                <w:szCs w:val="18"/>
              </w:rPr>
              <w:t>)</w:t>
            </w:r>
          </w:p>
        </w:tc>
        <w:tc>
          <w:tcPr>
            <w:tcW w:w="3355" w:type="dxa"/>
            <w:tcBorders>
              <w:top w:val="none" w:sz="0" w:space="0" w:color="auto"/>
              <w:left w:val="none" w:sz="0" w:space="0" w:color="auto"/>
              <w:bottom w:val="none" w:sz="0" w:space="0" w:color="auto"/>
              <w:right w:val="none" w:sz="0" w:space="0" w:color="auto"/>
            </w:tcBorders>
            <w:shd w:val="clear" w:color="auto" w:fill="C00000"/>
          </w:tcPr>
          <w:p w:rsidR="00206981" w:rsidRPr="009A3B65" w:rsidRDefault="00206981" w:rsidP="0001780D">
            <w:pPr>
              <w:jc w:val="both"/>
              <w:cnfStyle w:val="100000000000" w:firstRow="1"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Contractació (47)</w:t>
            </w:r>
          </w:p>
        </w:tc>
      </w:tr>
      <w:tr w:rsidR="00206981" w:rsidRPr="009A3B65" w:rsidTr="004712D6">
        <w:trPr>
          <w:cnfStyle w:val="000000100000" w:firstRow="0" w:lastRow="0" w:firstColumn="0" w:lastColumn="0" w:oddVBand="0" w:evenVBand="0" w:oddHBand="1" w:evenHBand="0" w:firstRowFirstColumn="0" w:firstRowLastColumn="0" w:lastRowFirstColumn="0" w:lastRowLastColumn="0"/>
          <w:trHeight w:val="1101"/>
          <w:jc w:val="center"/>
        </w:trPr>
        <w:tc>
          <w:tcPr>
            <w:cnfStyle w:val="001000000000" w:firstRow="0" w:lastRow="0" w:firstColumn="1" w:lastColumn="0" w:oddVBand="0" w:evenVBand="0" w:oddHBand="0" w:evenHBand="0" w:firstRowFirstColumn="0" w:firstRowLastColumn="0" w:lastRowFirstColumn="0" w:lastRowLastColumn="0"/>
            <w:tcW w:w="2930" w:type="dxa"/>
            <w:vMerge w:val="restart"/>
            <w:shd w:val="clear" w:color="auto" w:fill="E5B8B7" w:themeFill="accent2" w:themeFillTint="66"/>
          </w:tcPr>
          <w:p w:rsidR="00206981" w:rsidRPr="009A3B65" w:rsidRDefault="00206981" w:rsidP="0001780D">
            <w:pPr>
              <w:numPr>
                <w:ilvl w:val="0"/>
                <w:numId w:val="31"/>
              </w:numPr>
              <w:jc w:val="both"/>
              <w:rPr>
                <w:rFonts w:cs="Arial"/>
                <w:b w:val="0"/>
                <w:sz w:val="18"/>
                <w:szCs w:val="18"/>
              </w:rPr>
            </w:pPr>
            <w:r w:rsidRPr="009A3B65">
              <w:rPr>
                <w:rFonts w:cs="Arial"/>
                <w:b w:val="0"/>
                <w:sz w:val="18"/>
                <w:szCs w:val="18"/>
              </w:rPr>
              <w:t>Organigrames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Entitats i organismes de la Generalitat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Catàleg de serveis (2)</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Normativa (</w:t>
            </w:r>
            <w:r>
              <w:rPr>
                <w:rFonts w:cs="Arial"/>
                <w:b w:val="0"/>
                <w:sz w:val="18"/>
                <w:szCs w:val="18"/>
              </w:rPr>
              <w:t>5</w:t>
            </w:r>
            <w:r w:rsidRPr="009A3B65">
              <w:rPr>
                <w:rFonts w:cs="Arial"/>
                <w:b w:val="0"/>
                <w:sz w:val="18"/>
                <w:szCs w:val="18"/>
              </w:rPr>
              <w:t>)</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Actuacions administratives i jurídiques (6)</w:t>
            </w:r>
          </w:p>
          <w:p w:rsidR="00206981" w:rsidRPr="009A3B65" w:rsidRDefault="00206981" w:rsidP="0001780D">
            <w:pPr>
              <w:jc w:val="both"/>
              <w:rPr>
                <w:rFonts w:cs="Arial"/>
                <w:sz w:val="18"/>
                <w:szCs w:val="18"/>
              </w:rPr>
            </w:pPr>
          </w:p>
        </w:tc>
        <w:tc>
          <w:tcPr>
            <w:tcW w:w="3024" w:type="dxa"/>
            <w:tcBorders>
              <w:bottom w:val="single" w:sz="4" w:space="0" w:color="000000" w:themeColor="text1"/>
            </w:tcBorders>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Pressupostos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Control econòmic i financer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Indicadors econòmics i financers (</w:t>
            </w:r>
            <w:r>
              <w:rPr>
                <w:rFonts w:cs="Arial"/>
                <w:sz w:val="18"/>
                <w:szCs w:val="18"/>
              </w:rPr>
              <w:t>5</w:t>
            </w:r>
            <w:r w:rsidRPr="009A3B65">
              <w:rPr>
                <w:rFonts w:cs="Arial"/>
                <w:sz w:val="18"/>
                <w:szCs w:val="18"/>
              </w:rPr>
              <w:t>)</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Subvencions i ajuts (4)</w:t>
            </w:r>
          </w:p>
          <w:p w:rsidR="00206981" w:rsidRPr="009A3B65" w:rsidRDefault="00206981" w:rsidP="0001780D">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355" w:type="dxa"/>
            <w:vMerge w:val="restart"/>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Plataforma de serveis de contractació pública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Entitats i òrgans de contractació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Anuncis previs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Licitacions en tràmit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Bústia ètica de contractació pública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Contractes adjudicats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Contractes formalitzats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Modificacions i execució de contractes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Renúncies i desistiments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específica d’estudis i dictàmens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menor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Bones pràctiques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Convenis i encàrrecs de gestió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Recursos i resolucions judicials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Manual per als licitadors (1)</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Criteris interpretatius, acords i directrius (4)</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Estadístiques i memòries (8)</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Registre públic de contractes (2)</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Registre electrònic d’empreses licitadores (3)</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d’obres públiques (10)</w:t>
            </w:r>
          </w:p>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Dades obertes de contractació pública (1)</w:t>
            </w:r>
          </w:p>
        </w:tc>
      </w:tr>
      <w:tr w:rsidR="00206981" w:rsidRPr="009A3B65" w:rsidTr="004712D6">
        <w:trPr>
          <w:trHeight w:val="227"/>
          <w:jc w:val="center"/>
        </w:trPr>
        <w:tc>
          <w:tcPr>
            <w:cnfStyle w:val="001000000000" w:firstRow="0" w:lastRow="0" w:firstColumn="1" w:lastColumn="0" w:oddVBand="0" w:evenVBand="0" w:oddHBand="0" w:evenHBand="0" w:firstRowFirstColumn="0" w:firstRowLastColumn="0" w:lastRowFirstColumn="0" w:lastRowLastColumn="0"/>
            <w:tcW w:w="2930" w:type="dxa"/>
            <w:vMerge/>
            <w:shd w:val="clear" w:color="auto" w:fill="E5B8B7" w:themeFill="accent2" w:themeFillTint="66"/>
          </w:tcPr>
          <w:p w:rsidR="00206981" w:rsidRPr="009A3B65" w:rsidRDefault="00206981" w:rsidP="0001780D">
            <w:pPr>
              <w:numPr>
                <w:ilvl w:val="0"/>
                <w:numId w:val="31"/>
              </w:numPr>
              <w:jc w:val="both"/>
              <w:rPr>
                <w:rFonts w:cs="Arial"/>
                <w:b w:val="0"/>
              </w:rPr>
            </w:pPr>
          </w:p>
        </w:tc>
        <w:tc>
          <w:tcPr>
            <w:tcW w:w="3024" w:type="dxa"/>
            <w:shd w:val="clear" w:color="auto" w:fill="C00000"/>
          </w:tcPr>
          <w:p w:rsidR="00206981" w:rsidRPr="009A3B65" w:rsidRDefault="00206981" w:rsidP="0001780D">
            <w:pPr>
              <w:jc w:val="both"/>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9A3B65">
              <w:rPr>
                <w:rFonts w:cs="Arial"/>
                <w:b/>
                <w:color w:val="FFFFFF" w:themeColor="background1"/>
                <w:sz w:val="18"/>
                <w:szCs w:val="18"/>
              </w:rPr>
              <w:t>Gestió dels serveis públics (7)</w:t>
            </w:r>
          </w:p>
        </w:tc>
        <w:tc>
          <w:tcPr>
            <w:tcW w:w="3355" w:type="dxa"/>
            <w:vMerge/>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206981" w:rsidRPr="009A3B65" w:rsidTr="0001780D">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rsidR="00206981" w:rsidRPr="009A3B65" w:rsidRDefault="00206981" w:rsidP="0001780D">
            <w:pPr>
              <w:ind w:left="360"/>
              <w:jc w:val="both"/>
              <w:rPr>
                <w:rFonts w:cs="Arial"/>
                <w:sz w:val="18"/>
                <w:szCs w:val="18"/>
              </w:rPr>
            </w:pPr>
            <w:r w:rsidRPr="009A3B65">
              <w:rPr>
                <w:rFonts w:cs="Arial"/>
                <w:sz w:val="18"/>
                <w:szCs w:val="18"/>
              </w:rPr>
              <w:t>Funció pública (14)</w:t>
            </w:r>
          </w:p>
        </w:tc>
        <w:tc>
          <w:tcPr>
            <w:tcW w:w="3024" w:type="dxa"/>
            <w:vMerge w:val="restart"/>
            <w:shd w:val="clear" w:color="auto" w:fill="E5B8B7" w:themeFill="accent2" w:themeFillTint="66"/>
          </w:tcPr>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Plans i programes generals i sectorials (1)</w:t>
            </w:r>
          </w:p>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Auditories dels serveis públics (1)</w:t>
            </w:r>
          </w:p>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Informació estadística (2)</w:t>
            </w:r>
          </w:p>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Memòria sobre publicitat institucional (1)</w:t>
            </w:r>
          </w:p>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Arxiu i gestió documental (1)</w:t>
            </w:r>
          </w:p>
          <w:p w:rsidR="00206981" w:rsidRPr="009A3B65" w:rsidRDefault="00206981" w:rsidP="0001780D">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Estudis de polítiques públiques i d’anàlisi comparada (1)</w:t>
            </w:r>
          </w:p>
        </w:tc>
        <w:tc>
          <w:tcPr>
            <w:tcW w:w="3355" w:type="dxa"/>
            <w:vMerge/>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206981" w:rsidRPr="009A3B65" w:rsidTr="0001780D">
        <w:trPr>
          <w:trHeight w:val="764"/>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rsidR="00206981" w:rsidRPr="009A3B65" w:rsidRDefault="00206981" w:rsidP="0001780D">
            <w:pPr>
              <w:numPr>
                <w:ilvl w:val="0"/>
                <w:numId w:val="31"/>
              </w:numPr>
              <w:jc w:val="both"/>
              <w:rPr>
                <w:rFonts w:cs="Arial"/>
                <w:b w:val="0"/>
                <w:sz w:val="18"/>
                <w:szCs w:val="18"/>
              </w:rPr>
            </w:pPr>
            <w:r w:rsidRPr="009A3B65">
              <w:rPr>
                <w:rFonts w:cs="Arial"/>
                <w:b w:val="0"/>
                <w:sz w:val="18"/>
                <w:szCs w:val="18"/>
              </w:rPr>
              <w:t>Direcció pública (3)</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Empleats públics (9)</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Accés a la funció pública (2)</w:t>
            </w:r>
          </w:p>
        </w:tc>
        <w:tc>
          <w:tcPr>
            <w:tcW w:w="3024" w:type="dxa"/>
            <w:vMerge/>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206981" w:rsidRPr="009A3B65" w:rsidTr="0001780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rsidR="00206981" w:rsidRPr="009A3B65" w:rsidRDefault="00206981" w:rsidP="0001780D">
            <w:pPr>
              <w:ind w:left="360"/>
              <w:jc w:val="both"/>
              <w:rPr>
                <w:rFonts w:cs="Arial"/>
                <w:sz w:val="18"/>
                <w:szCs w:val="18"/>
              </w:rPr>
            </w:pPr>
            <w:r w:rsidRPr="009A3B65">
              <w:rPr>
                <w:rFonts w:cs="Arial"/>
                <w:color w:val="FFFFFF" w:themeColor="background1"/>
                <w:sz w:val="18"/>
                <w:szCs w:val="18"/>
              </w:rPr>
              <w:t>Patrimoni (5)</w:t>
            </w:r>
          </w:p>
        </w:tc>
        <w:tc>
          <w:tcPr>
            <w:tcW w:w="3024" w:type="dxa"/>
            <w:vMerge/>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206981" w:rsidRPr="009A3B65" w:rsidTr="0001780D">
        <w:trPr>
          <w:trHeight w:val="1403"/>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rsidR="00206981" w:rsidRPr="009A3B65" w:rsidRDefault="00206981" w:rsidP="0001780D">
            <w:pPr>
              <w:numPr>
                <w:ilvl w:val="0"/>
                <w:numId w:val="32"/>
              </w:numPr>
              <w:jc w:val="both"/>
              <w:rPr>
                <w:rFonts w:cs="Arial"/>
                <w:b w:val="0"/>
                <w:sz w:val="18"/>
                <w:szCs w:val="18"/>
              </w:rPr>
            </w:pPr>
            <w:r w:rsidRPr="009A3B65">
              <w:rPr>
                <w:rFonts w:cs="Arial"/>
                <w:b w:val="0"/>
                <w:sz w:val="18"/>
                <w:szCs w:val="18"/>
              </w:rPr>
              <w:t>Patrimoni immobiliari (1)</w:t>
            </w:r>
          </w:p>
          <w:p w:rsidR="00206981" w:rsidRPr="009A3B65" w:rsidRDefault="00206981" w:rsidP="0001780D">
            <w:pPr>
              <w:numPr>
                <w:ilvl w:val="0"/>
                <w:numId w:val="32"/>
              </w:numPr>
              <w:jc w:val="both"/>
              <w:rPr>
                <w:rFonts w:cs="Arial"/>
                <w:b w:val="0"/>
                <w:sz w:val="18"/>
                <w:szCs w:val="18"/>
              </w:rPr>
            </w:pPr>
            <w:r w:rsidRPr="009A3B65">
              <w:rPr>
                <w:rFonts w:cs="Arial"/>
                <w:b w:val="0"/>
                <w:sz w:val="18"/>
                <w:szCs w:val="18"/>
              </w:rPr>
              <w:t>Béns mobles de valor especial (1)</w:t>
            </w:r>
          </w:p>
          <w:p w:rsidR="00206981" w:rsidRPr="009A3B65" w:rsidRDefault="00206981" w:rsidP="0001780D">
            <w:pPr>
              <w:numPr>
                <w:ilvl w:val="0"/>
                <w:numId w:val="32"/>
              </w:numPr>
              <w:jc w:val="both"/>
              <w:rPr>
                <w:rFonts w:cs="Arial"/>
                <w:b w:val="0"/>
                <w:sz w:val="18"/>
                <w:szCs w:val="18"/>
              </w:rPr>
            </w:pPr>
            <w:r w:rsidRPr="009A3B65">
              <w:rPr>
                <w:rFonts w:cs="Arial"/>
                <w:b w:val="0"/>
                <w:sz w:val="18"/>
                <w:szCs w:val="18"/>
              </w:rPr>
              <w:t>Gestió del patrimoni (1)</w:t>
            </w:r>
          </w:p>
          <w:p w:rsidR="00206981" w:rsidRPr="009A3B65" w:rsidRDefault="00206981" w:rsidP="0001780D">
            <w:pPr>
              <w:numPr>
                <w:ilvl w:val="0"/>
                <w:numId w:val="32"/>
              </w:numPr>
              <w:jc w:val="both"/>
              <w:rPr>
                <w:rFonts w:cs="Arial"/>
                <w:b w:val="0"/>
                <w:sz w:val="18"/>
                <w:szCs w:val="18"/>
              </w:rPr>
            </w:pPr>
            <w:r w:rsidRPr="009A3B65">
              <w:rPr>
                <w:rFonts w:cs="Arial"/>
                <w:b w:val="0"/>
                <w:sz w:val="18"/>
                <w:szCs w:val="18"/>
              </w:rPr>
              <w:t>Contractació patrimonial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Inventari de vehicles de la Generalitat de Catalunya i el sector públic</w:t>
            </w:r>
            <w:r w:rsidRPr="009A3B65">
              <w:rPr>
                <w:rFonts w:cs="Arial"/>
                <w:sz w:val="18"/>
                <w:szCs w:val="18"/>
              </w:rPr>
              <w:t xml:space="preserve"> </w:t>
            </w:r>
            <w:r w:rsidRPr="009A3B65">
              <w:rPr>
                <w:rFonts w:cs="Arial"/>
                <w:b w:val="0"/>
                <w:sz w:val="18"/>
                <w:szCs w:val="18"/>
              </w:rPr>
              <w:t>(1)</w:t>
            </w:r>
          </w:p>
          <w:p w:rsidR="00206981" w:rsidRPr="009A3B65" w:rsidRDefault="00206981" w:rsidP="0001780D">
            <w:pPr>
              <w:ind w:left="360"/>
              <w:jc w:val="both"/>
              <w:rPr>
                <w:rFonts w:cs="Arial"/>
                <w:b w:val="0"/>
                <w:sz w:val="18"/>
                <w:szCs w:val="18"/>
              </w:rPr>
            </w:pPr>
          </w:p>
        </w:tc>
        <w:tc>
          <w:tcPr>
            <w:tcW w:w="3024" w:type="dxa"/>
            <w:vMerge/>
            <w:tcBorders>
              <w:bottom w:val="single" w:sz="4" w:space="0" w:color="000000" w:themeColor="text1"/>
            </w:tcBorders>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206981" w:rsidRPr="009A3B65" w:rsidTr="0001780D">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rsidR="00206981" w:rsidRPr="009A3B65" w:rsidRDefault="00206981" w:rsidP="0001780D">
            <w:pPr>
              <w:ind w:left="360"/>
              <w:jc w:val="both"/>
              <w:rPr>
                <w:rFonts w:cs="Arial"/>
                <w:color w:val="FFFFFF" w:themeColor="background1"/>
                <w:sz w:val="18"/>
                <w:szCs w:val="18"/>
              </w:rPr>
            </w:pPr>
            <w:r w:rsidRPr="009A3B65">
              <w:rPr>
                <w:rFonts w:cs="Arial"/>
                <w:color w:val="FFFFFF" w:themeColor="background1"/>
                <w:sz w:val="18"/>
                <w:szCs w:val="18"/>
              </w:rPr>
              <w:t>Govern (7)</w:t>
            </w:r>
          </w:p>
        </w:tc>
        <w:tc>
          <w:tcPr>
            <w:tcW w:w="3024" w:type="dxa"/>
            <w:shd w:val="clear" w:color="auto" w:fill="C00000"/>
          </w:tcPr>
          <w:p w:rsidR="00206981" w:rsidRPr="009A3B65" w:rsidRDefault="00206981" w:rsidP="0001780D">
            <w:pPr>
              <w:jc w:val="both"/>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9A3B65">
              <w:rPr>
                <w:rFonts w:cs="Arial"/>
                <w:b/>
                <w:color w:val="FFFFFF" w:themeColor="background1"/>
                <w:sz w:val="18"/>
                <w:szCs w:val="18"/>
              </w:rPr>
              <w:t>Territori (12)</w:t>
            </w:r>
          </w:p>
        </w:tc>
        <w:tc>
          <w:tcPr>
            <w:tcW w:w="3355" w:type="dxa"/>
            <w:vMerge/>
            <w:shd w:val="clear" w:color="auto" w:fill="E5B8B7" w:themeFill="accent2" w:themeFillTint="66"/>
          </w:tcPr>
          <w:p w:rsidR="00206981" w:rsidRPr="009A3B65" w:rsidRDefault="00206981" w:rsidP="0001780D">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206981" w:rsidRPr="009A3B65" w:rsidTr="0001780D">
        <w:trPr>
          <w:trHeight w:val="1054"/>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rsidR="00206981" w:rsidRPr="009A3B65" w:rsidRDefault="00206981" w:rsidP="0001780D">
            <w:pPr>
              <w:numPr>
                <w:ilvl w:val="0"/>
                <w:numId w:val="31"/>
              </w:numPr>
              <w:jc w:val="both"/>
              <w:rPr>
                <w:rFonts w:cs="Arial"/>
                <w:b w:val="0"/>
                <w:sz w:val="18"/>
                <w:szCs w:val="18"/>
              </w:rPr>
            </w:pPr>
            <w:r w:rsidRPr="009A3B65">
              <w:rPr>
                <w:rFonts w:cs="Arial"/>
                <w:b w:val="0"/>
                <w:sz w:val="18"/>
                <w:szCs w:val="18"/>
              </w:rPr>
              <w:t>El President (3)</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Composició del Govern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Acords de Govern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Viatges oficials (1)</w:t>
            </w:r>
          </w:p>
          <w:p w:rsidR="00206981" w:rsidRPr="009A3B65" w:rsidRDefault="00206981" w:rsidP="0001780D">
            <w:pPr>
              <w:numPr>
                <w:ilvl w:val="0"/>
                <w:numId w:val="31"/>
              </w:numPr>
              <w:jc w:val="both"/>
              <w:rPr>
                <w:rFonts w:cs="Arial"/>
                <w:b w:val="0"/>
                <w:sz w:val="18"/>
                <w:szCs w:val="18"/>
              </w:rPr>
            </w:pPr>
            <w:r w:rsidRPr="009A3B65">
              <w:rPr>
                <w:rFonts w:cs="Arial"/>
                <w:b w:val="0"/>
                <w:sz w:val="18"/>
                <w:szCs w:val="18"/>
              </w:rPr>
              <w:t>Expresidents (1)</w:t>
            </w:r>
          </w:p>
        </w:tc>
        <w:tc>
          <w:tcPr>
            <w:tcW w:w="3024" w:type="dxa"/>
            <w:tcBorders>
              <w:bottom w:val="single" w:sz="4" w:space="0" w:color="000000" w:themeColor="text1"/>
            </w:tcBorders>
            <w:shd w:val="clear" w:color="auto" w:fill="E5B8B7" w:themeFill="accent2" w:themeFillTint="66"/>
          </w:tcPr>
          <w:p w:rsidR="00206981" w:rsidRPr="009A3B65" w:rsidRDefault="00206981" w:rsidP="0001780D">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Plans territorials (4)</w:t>
            </w:r>
          </w:p>
          <w:p w:rsidR="00206981" w:rsidRPr="009A3B65" w:rsidRDefault="00206981" w:rsidP="0001780D">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Plans urbanístics (4)</w:t>
            </w:r>
          </w:p>
          <w:p w:rsidR="00206981" w:rsidRPr="009A3B65" w:rsidRDefault="00206981" w:rsidP="0001780D">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Informació geogràfica (3)</w:t>
            </w:r>
          </w:p>
          <w:p w:rsidR="00206981" w:rsidRPr="009A3B65" w:rsidRDefault="00206981" w:rsidP="0001780D">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Informació mediambiental (1)</w:t>
            </w:r>
          </w:p>
        </w:tc>
        <w:tc>
          <w:tcPr>
            <w:tcW w:w="3355" w:type="dxa"/>
            <w:vMerge/>
            <w:tcBorders>
              <w:bottom w:val="single" w:sz="4" w:space="0" w:color="000000" w:themeColor="text1"/>
            </w:tcBorders>
            <w:shd w:val="clear" w:color="auto" w:fill="E5B8B7" w:themeFill="accent2" w:themeFillTint="66"/>
          </w:tcPr>
          <w:p w:rsidR="00206981" w:rsidRPr="009A3B65" w:rsidRDefault="00206981" w:rsidP="0001780D">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bl>
    <w:p w:rsidR="00206981" w:rsidRDefault="00206981" w:rsidP="00206981">
      <w:pPr>
        <w:spacing w:before="120" w:after="120"/>
        <w:jc w:val="both"/>
        <w:rPr>
          <w:rFonts w:cs="Arial"/>
        </w:rPr>
      </w:pPr>
    </w:p>
    <w:p w:rsidR="00843797" w:rsidRDefault="00843797" w:rsidP="00843797">
      <w:pPr>
        <w:spacing w:before="120" w:after="120"/>
        <w:jc w:val="both"/>
        <w:rPr>
          <w:rFonts w:cs="Arial"/>
          <w:lang w:eastAsia="ca-ES"/>
        </w:rPr>
      </w:pPr>
      <w:r>
        <w:rPr>
          <w:rFonts w:cs="Arial"/>
          <w:lang w:eastAsia="ca-ES"/>
        </w:rPr>
        <w:t>En el gràfic següent es pot observar la distribució dels epígrafs per cada apartat del Portal.</w:t>
      </w:r>
    </w:p>
    <w:p w:rsidR="00843797" w:rsidRDefault="00843797" w:rsidP="00843797">
      <w:pPr>
        <w:spacing w:before="120" w:after="120"/>
        <w:jc w:val="both"/>
        <w:rPr>
          <w:rFonts w:cs="Arial"/>
          <w:lang w:eastAsia="ca-ES"/>
        </w:rPr>
      </w:pPr>
    </w:p>
    <w:p w:rsidR="00843797" w:rsidRPr="005A7B71" w:rsidRDefault="00843797" w:rsidP="00843797">
      <w:pPr>
        <w:spacing w:before="120" w:after="120"/>
        <w:jc w:val="both"/>
        <w:rPr>
          <w:rFonts w:cs="Arial"/>
          <w:b/>
          <w:lang w:eastAsia="ca-ES"/>
        </w:rPr>
      </w:pPr>
      <w:r w:rsidRPr="005A7B71">
        <w:rPr>
          <w:rFonts w:cs="Arial"/>
          <w:b/>
          <w:lang w:eastAsia="ca-ES"/>
        </w:rPr>
        <w:t>Gràfic 1. Nombre d’epígrafs per apartats al Portal.</w:t>
      </w:r>
    </w:p>
    <w:p w:rsidR="00843797" w:rsidRDefault="00843797" w:rsidP="00843797">
      <w:pPr>
        <w:spacing w:before="120" w:after="120"/>
        <w:jc w:val="both"/>
        <w:rPr>
          <w:rFonts w:cs="Arial"/>
          <w:lang w:eastAsia="ca-ES"/>
        </w:rPr>
      </w:pPr>
      <w:r>
        <w:rPr>
          <w:noProof/>
          <w:lang w:eastAsia="ca-ES"/>
        </w:rPr>
        <w:drawing>
          <wp:inline distT="0" distB="0" distL="0" distR="0" wp14:anchorId="2A4D2261" wp14:editId="0AA68238">
            <wp:extent cx="3479920" cy="2136489"/>
            <wp:effectExtent l="0" t="0" r="6350" b="16510"/>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43797" w:rsidRDefault="00843797" w:rsidP="00843797">
      <w:pPr>
        <w:spacing w:before="120" w:after="120"/>
        <w:jc w:val="both"/>
        <w:rPr>
          <w:rFonts w:cs="Arial"/>
          <w:lang w:eastAsia="ca-ES"/>
        </w:rPr>
      </w:pPr>
    </w:p>
    <w:p w:rsidR="00514ACF" w:rsidRPr="0093272B" w:rsidRDefault="0093272B" w:rsidP="0093272B">
      <w:pPr>
        <w:pStyle w:val="Ttol2"/>
        <w:rPr>
          <w:rFonts w:ascii="Arial" w:hAnsi="Arial" w:cs="Arial"/>
        </w:rPr>
      </w:pPr>
      <w:bookmarkStart w:id="18" w:name="_Toc14780366"/>
      <w:r w:rsidRPr="0093272B">
        <w:rPr>
          <w:rFonts w:ascii="Arial" w:hAnsi="Arial" w:cs="Arial"/>
        </w:rPr>
        <w:t>3.3</w:t>
      </w:r>
      <w:r w:rsidR="00514ACF" w:rsidRPr="0093272B">
        <w:rPr>
          <w:rFonts w:ascii="Arial" w:hAnsi="Arial" w:cs="Arial"/>
        </w:rPr>
        <w:t xml:space="preserve"> Criteris de publicitat activa vigents</w:t>
      </w:r>
      <w:bookmarkEnd w:id="18"/>
    </w:p>
    <w:p w:rsidR="00206981" w:rsidRPr="009A3B65" w:rsidRDefault="00206981" w:rsidP="00206981">
      <w:pPr>
        <w:spacing w:before="120" w:after="120"/>
        <w:jc w:val="both"/>
        <w:rPr>
          <w:rFonts w:cs="Arial"/>
        </w:rPr>
      </w:pPr>
      <w:r>
        <w:rPr>
          <w:rFonts w:cs="Arial"/>
        </w:rPr>
        <w:t>P</w:t>
      </w:r>
      <w:r w:rsidRPr="009A3B65">
        <w:rPr>
          <w:rFonts w:cs="Arial"/>
        </w:rPr>
        <w:t>er tal de donar suport al compliment de les obligacions</w:t>
      </w:r>
      <w:r w:rsidR="00DE4638">
        <w:rPr>
          <w:rFonts w:cs="Arial"/>
        </w:rPr>
        <w:t xml:space="preserve"> de transparència i publicitat activa</w:t>
      </w:r>
      <w:r w:rsidRPr="009A3B65">
        <w:rPr>
          <w:rFonts w:cs="Arial"/>
        </w:rPr>
        <w:t xml:space="preserve"> establertes en la Llei</w:t>
      </w:r>
      <w:r w:rsidR="00DE4638">
        <w:rPr>
          <w:rFonts w:cs="Arial"/>
        </w:rPr>
        <w:t xml:space="preserve"> i establir-ne criteris uniformes i homogenis en l’àmbit de la Generalitat de Catalunya</w:t>
      </w:r>
      <w:r w:rsidRPr="009A3B65">
        <w:rPr>
          <w:rFonts w:cs="Arial"/>
        </w:rPr>
        <w:t>, t</w:t>
      </w:r>
      <w:r w:rsidR="00DE4638">
        <w:rPr>
          <w:rFonts w:cs="Arial"/>
        </w:rPr>
        <w:t>ant la CITAIP, inicialment, com</w:t>
      </w:r>
      <w:r w:rsidRPr="009A3B65">
        <w:rPr>
          <w:rFonts w:cs="Arial"/>
        </w:rPr>
        <w:t xml:space="preserve"> la CITGO, han </w:t>
      </w:r>
      <w:r w:rsidR="00DE4638">
        <w:rPr>
          <w:rFonts w:cs="Arial"/>
        </w:rPr>
        <w:t xml:space="preserve">aprovat un seguit </w:t>
      </w:r>
      <w:r w:rsidRPr="009A3B65">
        <w:rPr>
          <w:rFonts w:cs="Arial"/>
        </w:rPr>
        <w:t xml:space="preserve">de </w:t>
      </w:r>
      <w:r w:rsidR="00DE4638">
        <w:rPr>
          <w:rFonts w:cs="Arial"/>
        </w:rPr>
        <w:t>documents</w:t>
      </w:r>
      <w:r w:rsidRPr="009A3B65">
        <w:rPr>
          <w:rFonts w:cs="Arial"/>
        </w:rPr>
        <w:t xml:space="preserve">. </w:t>
      </w:r>
      <w:r>
        <w:rPr>
          <w:rFonts w:cs="Arial"/>
        </w:rPr>
        <w:t>Fins a la data d’inici de</w:t>
      </w:r>
      <w:r w:rsidR="00E628FC">
        <w:rPr>
          <w:rFonts w:cs="Arial"/>
        </w:rPr>
        <w:t xml:space="preserve"> la present </w:t>
      </w:r>
      <w:r>
        <w:rPr>
          <w:rFonts w:cs="Arial"/>
        </w:rPr>
        <w:t>avaluació,</w:t>
      </w:r>
      <w:r w:rsidRPr="009A3B65">
        <w:rPr>
          <w:rFonts w:cs="Arial"/>
        </w:rPr>
        <w:t xml:space="preserve"> són vigents els següents</w:t>
      </w:r>
      <w:r w:rsidRPr="009A3B65">
        <w:rPr>
          <w:rStyle w:val="Refernciadenotaapeudepgina"/>
          <w:rFonts w:cs="Arial"/>
        </w:rPr>
        <w:footnoteReference w:id="3"/>
      </w:r>
      <w:r w:rsidRPr="009A3B65">
        <w:rPr>
          <w:rFonts w:cs="Arial"/>
        </w:rPr>
        <w:t>:</w:t>
      </w:r>
    </w:p>
    <w:p w:rsidR="00206981" w:rsidRPr="009A3B65" w:rsidRDefault="00206981" w:rsidP="00206981">
      <w:pPr>
        <w:spacing w:before="120" w:after="120"/>
        <w:jc w:val="both"/>
        <w:rPr>
          <w:rFonts w:cs="Arial"/>
        </w:rPr>
      </w:pPr>
      <w:r w:rsidRPr="009A3B65">
        <w:rPr>
          <w:rFonts w:cs="Arial"/>
        </w:rPr>
        <w:t>- Obligacions de publicitat activa en matèria de</w:t>
      </w:r>
      <w:r w:rsidRPr="009A3B65">
        <w:rPr>
          <w:rFonts w:cs="Arial"/>
          <w:b/>
        </w:rPr>
        <w:t xml:space="preserve"> contractació pública </w:t>
      </w:r>
      <w:r w:rsidRPr="00671B73">
        <w:rPr>
          <w:rFonts w:cs="Arial"/>
          <w:color w:val="333333"/>
          <w:sz w:val="21"/>
          <w:szCs w:val="21"/>
        </w:rPr>
        <w:t>(21.05.2015)</w:t>
      </w:r>
      <w:r w:rsidRPr="009A3B65">
        <w:rPr>
          <w:rFonts w:cs="Arial"/>
        </w:rPr>
        <w:t>.</w:t>
      </w:r>
    </w:p>
    <w:p w:rsidR="00206981" w:rsidRPr="009A3B65" w:rsidRDefault="00206981" w:rsidP="00206981">
      <w:pPr>
        <w:spacing w:before="120" w:after="120"/>
        <w:jc w:val="both"/>
        <w:rPr>
          <w:rFonts w:cs="Arial"/>
        </w:rPr>
      </w:pPr>
      <w:r w:rsidRPr="009A3B65">
        <w:rPr>
          <w:rFonts w:cs="Arial"/>
        </w:rPr>
        <w:t>- Obligacions de publicitat activa en matèria d’</w:t>
      </w:r>
      <w:r w:rsidRPr="009A3B65">
        <w:rPr>
          <w:rFonts w:cs="Arial"/>
          <w:b/>
        </w:rPr>
        <w:t xml:space="preserve">economia i finances </w:t>
      </w:r>
      <w:r w:rsidRPr="00671B73">
        <w:rPr>
          <w:rFonts w:cs="Arial"/>
          <w:color w:val="333333"/>
          <w:sz w:val="21"/>
          <w:szCs w:val="21"/>
        </w:rPr>
        <w:t>(29.07.2015).</w:t>
      </w:r>
    </w:p>
    <w:p w:rsidR="00206981" w:rsidRPr="009A3B65" w:rsidRDefault="00206981" w:rsidP="00206981">
      <w:pPr>
        <w:spacing w:before="120" w:after="120"/>
        <w:jc w:val="both"/>
        <w:rPr>
          <w:rFonts w:cs="Arial"/>
        </w:rPr>
      </w:pPr>
      <w:r w:rsidRPr="009A3B65">
        <w:rPr>
          <w:rFonts w:cs="Arial"/>
        </w:rPr>
        <w:t>- Obligacions de publicitat activa en matèria de</w:t>
      </w:r>
      <w:r w:rsidRPr="009A3B65">
        <w:rPr>
          <w:rFonts w:cs="Arial"/>
          <w:b/>
        </w:rPr>
        <w:t xml:space="preserve"> competència de la Intervenció General </w:t>
      </w:r>
      <w:r w:rsidRPr="009A3B65">
        <w:rPr>
          <w:rFonts w:cs="Arial"/>
          <w:color w:val="333333"/>
          <w:sz w:val="21"/>
          <w:szCs w:val="21"/>
          <w:lang w:val="es-ES"/>
        </w:rPr>
        <w:t>(04.11.2015)</w:t>
      </w:r>
      <w:r w:rsidRPr="009A3B65">
        <w:rPr>
          <w:rFonts w:cs="Arial"/>
        </w:rPr>
        <w:t>.</w:t>
      </w:r>
    </w:p>
    <w:p w:rsidR="00206981" w:rsidRPr="009A3B65" w:rsidRDefault="00206981" w:rsidP="00206981">
      <w:pPr>
        <w:spacing w:before="120" w:after="120"/>
        <w:jc w:val="both"/>
        <w:rPr>
          <w:rFonts w:cs="Arial"/>
        </w:rPr>
      </w:pPr>
      <w:r w:rsidRPr="009A3B65">
        <w:rPr>
          <w:rFonts w:cs="Arial"/>
        </w:rPr>
        <w:t xml:space="preserve">- Circuït de </w:t>
      </w:r>
      <w:r w:rsidRPr="009A3B65">
        <w:rPr>
          <w:rFonts w:cs="Arial"/>
          <w:b/>
        </w:rPr>
        <w:t>publicació dels acords de govern i procediment d’excepció</w:t>
      </w:r>
      <w:r w:rsidRPr="009A3B65">
        <w:rPr>
          <w:rFonts w:cs="Arial"/>
        </w:rPr>
        <w:t xml:space="preserve"> de publicació </w:t>
      </w:r>
      <w:r w:rsidRPr="009A3B65">
        <w:rPr>
          <w:rFonts w:cs="Arial"/>
          <w:color w:val="333333"/>
          <w:sz w:val="21"/>
          <w:szCs w:val="21"/>
          <w:lang w:val="es-ES"/>
        </w:rPr>
        <w:t>(27.05.2016).</w:t>
      </w:r>
    </w:p>
    <w:p w:rsidR="00206981" w:rsidRPr="00671B73" w:rsidRDefault="00206981" w:rsidP="00206981">
      <w:pPr>
        <w:spacing w:before="120" w:after="120"/>
        <w:jc w:val="both"/>
        <w:rPr>
          <w:rFonts w:cs="Arial"/>
        </w:rPr>
      </w:pPr>
      <w:r w:rsidRPr="009A3B65">
        <w:rPr>
          <w:rFonts w:cs="Arial"/>
        </w:rPr>
        <w:t xml:space="preserve">- Obligacions de publicitat activa derivades del </w:t>
      </w:r>
      <w:r w:rsidRPr="009A3B65">
        <w:rPr>
          <w:rFonts w:cs="Arial"/>
          <w:b/>
        </w:rPr>
        <w:t>Codi de conducta</w:t>
      </w:r>
      <w:r w:rsidRPr="009A3B65">
        <w:rPr>
          <w:rFonts w:cs="Arial"/>
        </w:rPr>
        <w:t xml:space="preserve"> dels alts càrrecs i personal directiu de l’Administració de la Generalitat i de les entitats del seu sector públic </w:t>
      </w:r>
      <w:r w:rsidRPr="00671B73">
        <w:rPr>
          <w:rFonts w:cs="Arial"/>
          <w:color w:val="333333"/>
          <w:sz w:val="21"/>
          <w:szCs w:val="21"/>
        </w:rPr>
        <w:t>(22.07.2016).</w:t>
      </w:r>
    </w:p>
    <w:p w:rsidR="00206981" w:rsidRPr="009A3B65" w:rsidRDefault="00206981" w:rsidP="00206981">
      <w:pPr>
        <w:spacing w:before="120" w:after="120"/>
        <w:jc w:val="both"/>
        <w:rPr>
          <w:rFonts w:cs="Arial"/>
        </w:rPr>
      </w:pPr>
      <w:r w:rsidRPr="009A3B65">
        <w:rPr>
          <w:rFonts w:cs="Arial"/>
        </w:rPr>
        <w:t xml:space="preserve">- Criteri en relació amb l’obligació de publicitat activa en relació amb les </w:t>
      </w:r>
      <w:r w:rsidRPr="009A3B65">
        <w:rPr>
          <w:rFonts w:cs="Arial"/>
          <w:b/>
        </w:rPr>
        <w:t xml:space="preserve">resolucions d’autorització o reconeixement de compatibilitat dels empleats i empleades públics </w:t>
      </w:r>
      <w:r w:rsidRPr="009A3B65">
        <w:rPr>
          <w:rFonts w:cs="Arial"/>
          <w:color w:val="333333"/>
          <w:sz w:val="21"/>
          <w:szCs w:val="21"/>
          <w:lang w:val="es-ES"/>
        </w:rPr>
        <w:t>(28.10.2016)</w:t>
      </w:r>
      <w:r w:rsidRPr="009A3B65">
        <w:rPr>
          <w:rFonts w:cs="Arial"/>
        </w:rPr>
        <w:t>.</w:t>
      </w:r>
    </w:p>
    <w:p w:rsidR="00206981" w:rsidRPr="009A3B65" w:rsidRDefault="00206981" w:rsidP="00206981">
      <w:pPr>
        <w:spacing w:before="120" w:after="120"/>
        <w:jc w:val="both"/>
        <w:rPr>
          <w:rFonts w:cs="Arial"/>
        </w:rPr>
      </w:pPr>
      <w:r w:rsidRPr="009A3B65">
        <w:rPr>
          <w:rFonts w:cs="Arial"/>
        </w:rPr>
        <w:t>- Criteris definidors del concepte de “</w:t>
      </w:r>
      <w:r w:rsidRPr="009A3B65">
        <w:rPr>
          <w:rFonts w:cs="Arial"/>
          <w:b/>
        </w:rPr>
        <w:t>càrrec directiu</w:t>
      </w:r>
      <w:r w:rsidRPr="009A3B65">
        <w:rPr>
          <w:rFonts w:cs="Arial"/>
        </w:rPr>
        <w:t>” de l’article 3.2, dels “</w:t>
      </w:r>
      <w:r w:rsidRPr="009A3B65">
        <w:rPr>
          <w:rFonts w:cs="Arial"/>
          <w:b/>
        </w:rPr>
        <w:t>òrgans de direcció o administració</w:t>
      </w:r>
      <w:r w:rsidRPr="009A3B65">
        <w:rPr>
          <w:rFonts w:cs="Arial"/>
        </w:rPr>
        <w:t>” de l’article 15.2 i de “</w:t>
      </w:r>
      <w:r w:rsidRPr="009A3B65">
        <w:rPr>
          <w:rFonts w:cs="Arial"/>
          <w:b/>
        </w:rPr>
        <w:t>retribucions</w:t>
      </w:r>
      <w:r w:rsidRPr="009A3B65">
        <w:rPr>
          <w:rFonts w:cs="Arial"/>
        </w:rPr>
        <w:t xml:space="preserve">” dels articles esmentats </w:t>
      </w:r>
      <w:r w:rsidRPr="00671B73">
        <w:rPr>
          <w:rFonts w:cs="Arial"/>
          <w:color w:val="333333"/>
          <w:sz w:val="21"/>
          <w:szCs w:val="21"/>
        </w:rPr>
        <w:t>(28.10.2016).</w:t>
      </w:r>
    </w:p>
    <w:p w:rsidR="00206981" w:rsidRPr="009A3B65" w:rsidRDefault="00206981" w:rsidP="00206981">
      <w:pPr>
        <w:spacing w:before="120" w:after="120"/>
        <w:jc w:val="both"/>
        <w:rPr>
          <w:rFonts w:cs="Arial"/>
        </w:rPr>
      </w:pPr>
      <w:r w:rsidRPr="009A3B65">
        <w:rPr>
          <w:rFonts w:cs="Arial"/>
        </w:rPr>
        <w:t>- Revisió dels criteris en relació amb les obligacions de publicitat activa en matèria d’</w:t>
      </w:r>
      <w:r w:rsidRPr="009A3B65">
        <w:rPr>
          <w:rFonts w:cs="Arial"/>
          <w:b/>
        </w:rPr>
        <w:t xml:space="preserve">Administració i Funció pública </w:t>
      </w:r>
      <w:r w:rsidRPr="009A3B65">
        <w:rPr>
          <w:rFonts w:cs="Arial"/>
          <w:color w:val="333333"/>
          <w:sz w:val="21"/>
          <w:szCs w:val="21"/>
          <w:lang w:val="es-ES"/>
        </w:rPr>
        <w:t>(28.10.2016)</w:t>
      </w:r>
      <w:r w:rsidRPr="009A3B65">
        <w:rPr>
          <w:rFonts w:cs="Arial"/>
        </w:rPr>
        <w:t>.</w:t>
      </w:r>
    </w:p>
    <w:p w:rsidR="00206981" w:rsidRPr="009A3B65" w:rsidRDefault="00206981" w:rsidP="00206981">
      <w:pPr>
        <w:spacing w:before="120" w:after="120"/>
        <w:jc w:val="both"/>
        <w:rPr>
          <w:rFonts w:cs="Arial"/>
        </w:rPr>
      </w:pPr>
      <w:r w:rsidRPr="009A3B65">
        <w:rPr>
          <w:rFonts w:cs="Arial"/>
        </w:rPr>
        <w:t xml:space="preserve">- Criteris d’actuació en relació al desplegament de la primera fase de l’eina informàtica corporativa del </w:t>
      </w:r>
      <w:r w:rsidRPr="009A3B65">
        <w:rPr>
          <w:rFonts w:cs="Arial"/>
          <w:b/>
        </w:rPr>
        <w:t>Registre d’activitats del codi de conducta</w:t>
      </w:r>
      <w:r w:rsidRPr="009A3B65">
        <w:rPr>
          <w:rFonts w:cs="Arial"/>
        </w:rPr>
        <w:t xml:space="preserve"> dels alts càrrecs i personal directiu de l’Administració de la Generalitat i de les entitats del seu sector públic </w:t>
      </w:r>
      <w:r w:rsidRPr="009A3B65">
        <w:rPr>
          <w:rFonts w:cs="Arial"/>
          <w:color w:val="333333"/>
          <w:sz w:val="21"/>
          <w:szCs w:val="21"/>
          <w:lang w:val="es-ES"/>
        </w:rPr>
        <w:t>(09.06.2017)</w:t>
      </w:r>
      <w:r w:rsidRPr="009A3B65">
        <w:rPr>
          <w:rFonts w:cs="Arial"/>
        </w:rPr>
        <w:t>.</w:t>
      </w:r>
    </w:p>
    <w:p w:rsidR="00206981" w:rsidRPr="009A3B65" w:rsidRDefault="00206981" w:rsidP="00206981">
      <w:pPr>
        <w:spacing w:before="120" w:after="120"/>
        <w:jc w:val="both"/>
        <w:rPr>
          <w:rFonts w:cs="Arial"/>
        </w:rPr>
      </w:pPr>
      <w:r w:rsidRPr="009A3B65">
        <w:rPr>
          <w:rFonts w:cs="Arial"/>
        </w:rPr>
        <w:t>- Criteris interpretatius sobre l’</w:t>
      </w:r>
      <w:r w:rsidRPr="009A3B65">
        <w:rPr>
          <w:rFonts w:cs="Arial"/>
          <w:b/>
        </w:rPr>
        <w:t>àmbit subjectiu d’aplicació de l’apartat 5.6 de l’Acord GOV/82/2016, de 21 de juny, pel qual s’aprova el Codi de conducta</w:t>
      </w:r>
      <w:r w:rsidRPr="009A3B65">
        <w:rPr>
          <w:rFonts w:cs="Arial"/>
        </w:rPr>
        <w:t xml:space="preserve"> dels alts càrrecs i personal directiu de l’Administració de la Generalitat i de les entitats del seu sector públic, i d’altres mesures en matèria de transparència, grups d’interès i ètica pública </w:t>
      </w:r>
      <w:r w:rsidRPr="00671B73">
        <w:rPr>
          <w:rFonts w:cs="Arial"/>
          <w:color w:val="333333"/>
          <w:sz w:val="21"/>
          <w:szCs w:val="21"/>
        </w:rPr>
        <w:t>(09.06.2017)</w:t>
      </w:r>
      <w:r w:rsidRPr="009A3B65">
        <w:rPr>
          <w:rFonts w:cs="Arial"/>
        </w:rPr>
        <w:t>.</w:t>
      </w:r>
    </w:p>
    <w:p w:rsidR="00206981" w:rsidRPr="009A3B65" w:rsidRDefault="00206981" w:rsidP="00206981">
      <w:pPr>
        <w:spacing w:before="120" w:after="120"/>
        <w:jc w:val="both"/>
        <w:rPr>
          <w:rFonts w:cs="Arial"/>
        </w:rPr>
      </w:pPr>
      <w:r w:rsidRPr="009A3B65">
        <w:rPr>
          <w:rFonts w:cs="Arial"/>
        </w:rPr>
        <w:t xml:space="preserve">- Obligacions de publicitat activa en matèria de </w:t>
      </w:r>
      <w:r w:rsidRPr="009A3B65">
        <w:rPr>
          <w:rFonts w:cs="Arial"/>
          <w:b/>
        </w:rPr>
        <w:t xml:space="preserve">decisions i actuacions de rellevància jurídica </w:t>
      </w:r>
      <w:r w:rsidRPr="009A3B65">
        <w:rPr>
          <w:rFonts w:cs="Arial"/>
          <w:color w:val="333333"/>
          <w:sz w:val="21"/>
          <w:szCs w:val="21"/>
          <w:lang w:val="es-ES"/>
        </w:rPr>
        <w:t>(09.06.2017)</w:t>
      </w:r>
      <w:r w:rsidRPr="009A3B65">
        <w:rPr>
          <w:rFonts w:cs="Arial"/>
        </w:rPr>
        <w:t>.</w:t>
      </w:r>
    </w:p>
    <w:p w:rsidR="00206981" w:rsidRPr="009A3B65" w:rsidRDefault="00206981" w:rsidP="00206981">
      <w:pPr>
        <w:spacing w:before="120" w:after="120"/>
        <w:jc w:val="both"/>
        <w:rPr>
          <w:rFonts w:cs="Arial"/>
        </w:rPr>
      </w:pPr>
      <w:r w:rsidRPr="009A3B65">
        <w:rPr>
          <w:rFonts w:cs="Arial"/>
        </w:rPr>
        <w:t xml:space="preserve">- Obligacions de publicitat activa en relació amb els </w:t>
      </w:r>
      <w:r w:rsidRPr="009A3B65">
        <w:rPr>
          <w:rFonts w:cs="Arial"/>
          <w:b/>
        </w:rPr>
        <w:t>viatges a l’estranger</w:t>
      </w:r>
      <w:r w:rsidRPr="009A3B65">
        <w:rPr>
          <w:rFonts w:cs="Arial"/>
        </w:rPr>
        <w:t xml:space="preserve"> del president o presidenta de la Generalitat de Catalunya, de les conselleres o consellers del Govern i dels alts càrrecs i personal directiu de l’Administració de la Generalitat de Catalunya i de les entitats del seu sector públic (13.07.2018).</w:t>
      </w:r>
    </w:p>
    <w:p w:rsidR="00206981" w:rsidRDefault="00206981" w:rsidP="00206981">
      <w:pPr>
        <w:spacing w:before="120" w:after="120"/>
        <w:jc w:val="both"/>
        <w:rPr>
          <w:rFonts w:cs="Arial"/>
        </w:rPr>
      </w:pPr>
      <w:r w:rsidRPr="009A3B65">
        <w:rPr>
          <w:rFonts w:cs="Arial"/>
        </w:rPr>
        <w:t xml:space="preserve">- Guia de transparència per a les </w:t>
      </w:r>
      <w:r w:rsidRPr="009A3B65">
        <w:rPr>
          <w:rFonts w:cs="Arial"/>
          <w:b/>
        </w:rPr>
        <w:t>entitats del sector públic</w:t>
      </w:r>
      <w:r w:rsidRPr="009A3B65">
        <w:rPr>
          <w:rFonts w:cs="Arial"/>
        </w:rPr>
        <w:t xml:space="preserve"> de l’Administració de la Generalitat de Catalunya (13.07.2018).</w:t>
      </w:r>
    </w:p>
    <w:p w:rsidR="00206981" w:rsidRPr="00495477" w:rsidRDefault="00206981" w:rsidP="00206981">
      <w:pPr>
        <w:spacing w:before="120" w:after="120"/>
        <w:jc w:val="both"/>
        <w:rPr>
          <w:rFonts w:cs="Arial"/>
        </w:rPr>
      </w:pPr>
      <w:r w:rsidRPr="00495477">
        <w:rPr>
          <w:rFonts w:cs="Arial"/>
        </w:rPr>
        <w:t xml:space="preserve">- Criteris de publicació de les </w:t>
      </w:r>
      <w:r w:rsidRPr="00495477">
        <w:rPr>
          <w:rFonts w:cs="Arial"/>
          <w:b/>
        </w:rPr>
        <w:t>llistes per a accedir als processos de formació</w:t>
      </w:r>
      <w:r w:rsidRPr="00495477">
        <w:rPr>
          <w:rFonts w:cs="Arial"/>
        </w:rPr>
        <w:t xml:space="preserve"> de la lletra -G- de l’article 9.1 de la Llei 19/2014, de 29 de desembre, de transparència, accés a la informació pública i bon govern</w:t>
      </w:r>
      <w:r>
        <w:rPr>
          <w:rStyle w:val="Refernciadenotaapeudepgina"/>
          <w:rFonts w:cs="Arial"/>
        </w:rPr>
        <w:footnoteReference w:id="4"/>
      </w:r>
      <w:r w:rsidRPr="00495477">
        <w:rPr>
          <w:rFonts w:cs="Arial"/>
        </w:rPr>
        <w:t xml:space="preserve"> (05.02.2019).</w:t>
      </w:r>
    </w:p>
    <w:p w:rsidR="00206981" w:rsidRDefault="00206981" w:rsidP="00CA551F">
      <w:pPr>
        <w:spacing w:before="120" w:after="120"/>
        <w:jc w:val="both"/>
        <w:rPr>
          <w:rFonts w:cs="Arial"/>
        </w:rPr>
      </w:pPr>
    </w:p>
    <w:p w:rsidR="00775613" w:rsidRPr="0093272B" w:rsidRDefault="0093272B" w:rsidP="0093272B">
      <w:pPr>
        <w:pStyle w:val="Ttol2"/>
        <w:rPr>
          <w:rFonts w:ascii="Arial" w:hAnsi="Arial" w:cs="Arial"/>
        </w:rPr>
      </w:pPr>
      <w:bookmarkStart w:id="19" w:name="_Toc438658776"/>
      <w:bookmarkStart w:id="20" w:name="_Toc442864025"/>
      <w:bookmarkStart w:id="21" w:name="_Toc14780367"/>
      <w:r w:rsidRPr="0093272B">
        <w:rPr>
          <w:rFonts w:ascii="Arial" w:hAnsi="Arial" w:cs="Arial"/>
        </w:rPr>
        <w:t>3.4</w:t>
      </w:r>
      <w:r w:rsidR="00775613" w:rsidRPr="0093272B">
        <w:rPr>
          <w:rFonts w:ascii="Arial" w:hAnsi="Arial" w:cs="Arial"/>
        </w:rPr>
        <w:t xml:space="preserve"> Competències</w:t>
      </w:r>
      <w:bookmarkEnd w:id="19"/>
      <w:r w:rsidR="00775613" w:rsidRPr="0093272B">
        <w:rPr>
          <w:rFonts w:ascii="Arial" w:hAnsi="Arial" w:cs="Arial"/>
        </w:rPr>
        <w:t xml:space="preserve"> i responsabilitats</w:t>
      </w:r>
      <w:bookmarkEnd w:id="20"/>
      <w:r w:rsidR="005D3E61" w:rsidRPr="0093272B">
        <w:rPr>
          <w:rFonts w:ascii="Arial" w:hAnsi="Arial" w:cs="Arial"/>
        </w:rPr>
        <w:t xml:space="preserve"> de publicitat activa</w:t>
      </w:r>
      <w:bookmarkEnd w:id="21"/>
    </w:p>
    <w:p w:rsidR="00CA551F" w:rsidRDefault="00775613" w:rsidP="00CA551F">
      <w:pPr>
        <w:spacing w:before="120" w:after="120"/>
        <w:jc w:val="both"/>
        <w:rPr>
          <w:rFonts w:cs="Arial"/>
        </w:rPr>
      </w:pPr>
      <w:r w:rsidRPr="009A3B65">
        <w:rPr>
          <w:rFonts w:cs="Arial"/>
        </w:rPr>
        <w:t>L’actual Portal de Transparència es</w:t>
      </w:r>
      <w:r w:rsidR="00854619" w:rsidRPr="009A3B65">
        <w:rPr>
          <w:rFonts w:cs="Arial"/>
        </w:rPr>
        <w:t>tà fonamentat</w:t>
      </w:r>
      <w:r w:rsidR="002101AF">
        <w:rPr>
          <w:rFonts w:cs="Arial"/>
        </w:rPr>
        <w:t>, gairebé en la seva major part,</w:t>
      </w:r>
      <w:r w:rsidRPr="009A3B65">
        <w:rPr>
          <w:rFonts w:cs="Arial"/>
        </w:rPr>
        <w:t xml:space="preserve"> en enllaços als portals</w:t>
      </w:r>
      <w:r w:rsidR="00C44CE5" w:rsidRPr="009A3B65">
        <w:rPr>
          <w:rFonts w:cs="Arial"/>
        </w:rPr>
        <w:t xml:space="preserve"> o webs</w:t>
      </w:r>
      <w:r w:rsidRPr="009A3B65">
        <w:rPr>
          <w:rFonts w:cs="Arial"/>
        </w:rPr>
        <w:t xml:space="preserve"> dels </w:t>
      </w:r>
      <w:r w:rsidR="00854619" w:rsidRPr="009A3B65">
        <w:rPr>
          <w:rFonts w:cs="Arial"/>
        </w:rPr>
        <w:t xml:space="preserve">diferents </w:t>
      </w:r>
      <w:r w:rsidR="000655DE" w:rsidRPr="009A3B65">
        <w:rPr>
          <w:rFonts w:cs="Arial"/>
        </w:rPr>
        <w:t>d</w:t>
      </w:r>
      <w:r w:rsidRPr="009A3B65">
        <w:rPr>
          <w:rFonts w:cs="Arial"/>
        </w:rPr>
        <w:t>epartaments on està publicada la informació</w:t>
      </w:r>
      <w:r w:rsidR="002101AF">
        <w:rPr>
          <w:rFonts w:cs="Arial"/>
        </w:rPr>
        <w:t xml:space="preserve"> subjecta a publicitat</w:t>
      </w:r>
      <w:r w:rsidRPr="009A3B65">
        <w:rPr>
          <w:rFonts w:cs="Arial"/>
        </w:rPr>
        <w:t xml:space="preserve">. </w:t>
      </w:r>
      <w:r w:rsidR="00854619" w:rsidRPr="009A3B65">
        <w:rPr>
          <w:rFonts w:cs="Arial"/>
        </w:rPr>
        <w:t>C</w:t>
      </w:r>
      <w:r w:rsidRPr="009A3B65">
        <w:rPr>
          <w:rFonts w:cs="Arial"/>
        </w:rPr>
        <w:t xml:space="preserve">ada </w:t>
      </w:r>
      <w:r w:rsidR="000655DE" w:rsidRPr="009A3B65">
        <w:rPr>
          <w:rFonts w:cs="Arial"/>
        </w:rPr>
        <w:t>d</w:t>
      </w:r>
      <w:r w:rsidRPr="009A3B65">
        <w:rPr>
          <w:rFonts w:cs="Arial"/>
        </w:rPr>
        <w:t>epartament</w:t>
      </w:r>
      <w:r w:rsidR="00C44CE5" w:rsidRPr="009A3B65">
        <w:rPr>
          <w:rFonts w:cs="Arial"/>
        </w:rPr>
        <w:t>, per raó de la matèria,</w:t>
      </w:r>
      <w:r w:rsidRPr="009A3B65">
        <w:rPr>
          <w:rFonts w:cs="Arial"/>
        </w:rPr>
        <w:t xml:space="preserve"> és responsable de publicar </w:t>
      </w:r>
      <w:r w:rsidR="00854619" w:rsidRPr="009A3B65">
        <w:rPr>
          <w:rFonts w:cs="Arial"/>
        </w:rPr>
        <w:t>determinada</w:t>
      </w:r>
      <w:r w:rsidRPr="009A3B65">
        <w:rPr>
          <w:rFonts w:cs="Arial"/>
        </w:rPr>
        <w:t xml:space="preserve"> informació en el seu portal corporatiu</w:t>
      </w:r>
      <w:r w:rsidR="002E4A43">
        <w:rPr>
          <w:rStyle w:val="Refernciadenotaapeudepgina"/>
          <w:rFonts w:cs="Arial"/>
        </w:rPr>
        <w:footnoteReference w:id="5"/>
      </w:r>
      <w:r w:rsidR="002101AF">
        <w:rPr>
          <w:rFonts w:cs="Arial"/>
        </w:rPr>
        <w:t>,</w:t>
      </w:r>
      <w:r w:rsidRPr="009A3B65">
        <w:rPr>
          <w:rFonts w:cs="Arial"/>
        </w:rPr>
        <w:t xml:space="preserve"> per tal que s’hi pugui accedir des del Portal de Transparència</w:t>
      </w:r>
      <w:r w:rsidR="00C44CE5" w:rsidRPr="009A3B65">
        <w:rPr>
          <w:rFonts w:cs="Arial"/>
        </w:rPr>
        <w:t>,</w:t>
      </w:r>
      <w:r w:rsidRPr="009A3B65">
        <w:rPr>
          <w:rFonts w:cs="Arial"/>
        </w:rPr>
        <w:t xml:space="preserve"> i de facilitar</w:t>
      </w:r>
      <w:r w:rsidR="00854619" w:rsidRPr="009A3B65">
        <w:rPr>
          <w:rFonts w:cs="Arial"/>
        </w:rPr>
        <w:t>-ne</w:t>
      </w:r>
      <w:r w:rsidRPr="009A3B65">
        <w:rPr>
          <w:rFonts w:cs="Arial"/>
        </w:rPr>
        <w:t xml:space="preserve"> </w:t>
      </w:r>
      <w:r w:rsidR="00854619" w:rsidRPr="009A3B65">
        <w:rPr>
          <w:rFonts w:cs="Arial"/>
        </w:rPr>
        <w:t>l’</w:t>
      </w:r>
      <w:r w:rsidRPr="009A3B65">
        <w:rPr>
          <w:rFonts w:cs="Arial"/>
        </w:rPr>
        <w:t xml:space="preserve">enllaç al gestor del portal a través de l’adreça </w:t>
      </w:r>
      <w:r w:rsidRPr="009A3B65">
        <w:rPr>
          <w:rFonts w:cs="Arial"/>
          <w:u w:val="single"/>
        </w:rPr>
        <w:t>portaltransparencia@gencat.cat</w:t>
      </w:r>
      <w:r w:rsidRPr="009A3B65">
        <w:rPr>
          <w:rFonts w:cs="Arial"/>
        </w:rPr>
        <w:t>. Els gestors del Portal, per la seva part, són els responsables del bon funcionament del Portal, a més de mantenir actualitzats els enllaços del Portal</w:t>
      </w:r>
      <w:r w:rsidR="002101AF">
        <w:rPr>
          <w:rFonts w:cs="Arial"/>
        </w:rPr>
        <w:t>,</w:t>
      </w:r>
      <w:r w:rsidRPr="009A3B65">
        <w:rPr>
          <w:rFonts w:cs="Arial"/>
        </w:rPr>
        <w:t xml:space="preserve"> d’acord amb </w:t>
      </w:r>
      <w:r w:rsidR="006E1158">
        <w:rPr>
          <w:rFonts w:cs="Arial"/>
        </w:rPr>
        <w:t xml:space="preserve">la informació </w:t>
      </w:r>
      <w:r w:rsidRPr="009A3B65">
        <w:rPr>
          <w:rFonts w:cs="Arial"/>
        </w:rPr>
        <w:t xml:space="preserve">que els </w:t>
      </w:r>
      <w:r w:rsidR="000655DE" w:rsidRPr="009A3B65">
        <w:rPr>
          <w:rFonts w:cs="Arial"/>
        </w:rPr>
        <w:t>d</w:t>
      </w:r>
      <w:r w:rsidRPr="009A3B65">
        <w:rPr>
          <w:rFonts w:cs="Arial"/>
        </w:rPr>
        <w:t>epartaments els transmeten.</w:t>
      </w:r>
    </w:p>
    <w:p w:rsidR="00986CEA" w:rsidRDefault="00986CEA" w:rsidP="00986CEA">
      <w:pPr>
        <w:spacing w:before="120" w:after="120"/>
        <w:jc w:val="both"/>
        <w:rPr>
          <w:rFonts w:cs="Arial"/>
          <w:lang w:eastAsia="ca-ES"/>
        </w:rPr>
      </w:pPr>
      <w:bookmarkStart w:id="22" w:name="_Toc438658769"/>
      <w:r w:rsidRPr="009A3B65">
        <w:rPr>
          <w:rFonts w:cs="Arial"/>
          <w:lang w:eastAsia="ca-ES"/>
        </w:rPr>
        <w:t xml:space="preserve">En </w:t>
      </w:r>
      <w:r w:rsidR="004458E3">
        <w:rPr>
          <w:rFonts w:cs="Arial"/>
          <w:lang w:eastAsia="ca-ES"/>
        </w:rPr>
        <w:t>el gràfic</w:t>
      </w:r>
      <w:r w:rsidRPr="009A3B65">
        <w:rPr>
          <w:rFonts w:cs="Arial"/>
          <w:lang w:eastAsia="ca-ES"/>
        </w:rPr>
        <w:t xml:space="preserve"> següent es mostra la distribució actual d’epígrafs</w:t>
      </w:r>
      <w:r w:rsidRPr="009A3B65">
        <w:rPr>
          <w:rStyle w:val="Refernciadenotaapeudepgina"/>
          <w:rFonts w:cs="Arial"/>
          <w:lang w:eastAsia="ca-ES"/>
        </w:rPr>
        <w:footnoteReference w:id="6"/>
      </w:r>
      <w:r w:rsidRPr="009A3B65">
        <w:rPr>
          <w:rFonts w:cs="Arial"/>
          <w:lang w:eastAsia="ca-ES"/>
        </w:rPr>
        <w:t>, segons els departaments que són responsables de publicar la informació.</w:t>
      </w:r>
    </w:p>
    <w:p w:rsidR="004458E3" w:rsidRDefault="004458E3" w:rsidP="00986CEA">
      <w:pPr>
        <w:spacing w:before="120" w:after="120"/>
        <w:jc w:val="both"/>
        <w:rPr>
          <w:rFonts w:cs="Arial"/>
          <w:lang w:eastAsia="ca-ES"/>
        </w:rPr>
      </w:pPr>
    </w:p>
    <w:p w:rsidR="005D3E61" w:rsidRPr="005A7B71" w:rsidRDefault="005D3E61" w:rsidP="00986CEA">
      <w:pPr>
        <w:spacing w:before="120" w:after="120"/>
        <w:jc w:val="both"/>
        <w:rPr>
          <w:rFonts w:cs="Arial"/>
          <w:b/>
          <w:lang w:eastAsia="ca-ES"/>
        </w:rPr>
      </w:pPr>
      <w:r w:rsidRPr="005A7B71">
        <w:rPr>
          <w:rFonts w:cs="Arial"/>
          <w:b/>
          <w:lang w:eastAsia="ca-ES"/>
        </w:rPr>
        <w:t>Gràfic</w:t>
      </w:r>
      <w:r w:rsidR="00FF7288" w:rsidRPr="005A7B71">
        <w:rPr>
          <w:rFonts w:cs="Arial"/>
          <w:b/>
          <w:lang w:eastAsia="ca-ES"/>
        </w:rPr>
        <w:t xml:space="preserve"> </w:t>
      </w:r>
      <w:r w:rsidR="005A7B71" w:rsidRPr="005A7B71">
        <w:rPr>
          <w:rFonts w:cs="Arial"/>
          <w:b/>
          <w:lang w:eastAsia="ca-ES"/>
        </w:rPr>
        <w:t>2</w:t>
      </w:r>
      <w:r w:rsidRPr="005A7B71">
        <w:rPr>
          <w:rFonts w:cs="Arial"/>
          <w:b/>
          <w:lang w:eastAsia="ca-ES"/>
        </w:rPr>
        <w:t>. Nombre d’epígrafs gestionats pels departaments</w:t>
      </w:r>
      <w:r w:rsidR="00285E6B" w:rsidRPr="009A3B65">
        <w:rPr>
          <w:rStyle w:val="Refernciadenotaapeudepgina"/>
          <w:rFonts w:cs="Arial"/>
          <w:lang w:eastAsia="ca-ES"/>
        </w:rPr>
        <w:footnoteReference w:id="7"/>
      </w:r>
      <w:r w:rsidRPr="005A7B71">
        <w:rPr>
          <w:rFonts w:cs="Arial"/>
          <w:b/>
          <w:lang w:eastAsia="ca-ES"/>
        </w:rPr>
        <w:t>.</w:t>
      </w:r>
    </w:p>
    <w:p w:rsidR="004458E3" w:rsidRPr="009A3B65" w:rsidRDefault="004458E3" w:rsidP="00986CEA">
      <w:pPr>
        <w:spacing w:before="120" w:after="120"/>
        <w:jc w:val="both"/>
        <w:rPr>
          <w:rFonts w:cs="Arial"/>
          <w:lang w:eastAsia="ca-ES"/>
        </w:rPr>
      </w:pPr>
      <w:r>
        <w:rPr>
          <w:noProof/>
          <w:lang w:eastAsia="ca-ES"/>
        </w:rPr>
        <w:drawing>
          <wp:inline distT="0" distB="0" distL="0" distR="0" wp14:anchorId="0BE6AF78" wp14:editId="3AE92511">
            <wp:extent cx="4572000" cy="2743200"/>
            <wp:effectExtent l="0" t="0" r="0" b="0"/>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6CEA" w:rsidRPr="009A3B65" w:rsidRDefault="00986CEA" w:rsidP="00986CEA">
      <w:pPr>
        <w:spacing w:before="120" w:after="120"/>
        <w:jc w:val="both"/>
        <w:rPr>
          <w:rFonts w:cs="Arial"/>
          <w:lang w:eastAsia="ca-ES"/>
        </w:rPr>
      </w:pPr>
    </w:p>
    <w:p w:rsidR="00986CEA" w:rsidRPr="009A3B65" w:rsidRDefault="00986CEA" w:rsidP="00986CEA">
      <w:pPr>
        <w:spacing w:before="120" w:after="120"/>
        <w:jc w:val="both"/>
        <w:rPr>
          <w:rFonts w:cs="Arial"/>
          <w:lang w:eastAsia="ca-ES"/>
        </w:rPr>
      </w:pPr>
      <w:r w:rsidRPr="009A3B65">
        <w:rPr>
          <w:rFonts w:cs="Arial"/>
          <w:lang w:eastAsia="ca-ES"/>
        </w:rPr>
        <w:t>Com es pot observar, VEH és el departament responsable de més epígrafs, en total 5</w:t>
      </w:r>
      <w:r w:rsidR="005D7383">
        <w:rPr>
          <w:rFonts w:cs="Arial"/>
          <w:lang w:eastAsia="ca-ES"/>
        </w:rPr>
        <w:t>9</w:t>
      </w:r>
      <w:r w:rsidRPr="009A3B65">
        <w:rPr>
          <w:rFonts w:cs="Arial"/>
          <w:lang w:eastAsia="ca-ES"/>
        </w:rPr>
        <w:t xml:space="preserve">, seguit </w:t>
      </w:r>
      <w:r w:rsidR="005D7383">
        <w:rPr>
          <w:rFonts w:cs="Arial"/>
          <w:lang w:eastAsia="ca-ES"/>
        </w:rPr>
        <w:t>per TOTS amb 19,</w:t>
      </w:r>
      <w:r w:rsidRPr="009A3B65">
        <w:rPr>
          <w:rFonts w:cs="Arial"/>
          <w:lang w:eastAsia="ca-ES"/>
        </w:rPr>
        <w:t xml:space="preserve"> de PDA</w:t>
      </w:r>
      <w:r w:rsidR="005D7383">
        <w:rPr>
          <w:rFonts w:cs="Arial"/>
          <w:lang w:eastAsia="ca-ES"/>
        </w:rPr>
        <w:t xml:space="preserve"> amb 18</w:t>
      </w:r>
      <w:r w:rsidRPr="009A3B65">
        <w:rPr>
          <w:rFonts w:cs="Arial"/>
          <w:lang w:eastAsia="ca-ES"/>
        </w:rPr>
        <w:t xml:space="preserve">, </w:t>
      </w:r>
      <w:r w:rsidR="005D7383">
        <w:rPr>
          <w:rFonts w:cs="Arial"/>
          <w:lang w:eastAsia="ca-ES"/>
        </w:rPr>
        <w:t xml:space="preserve"> i ja amb menys, </w:t>
      </w:r>
      <w:r w:rsidR="005D7383" w:rsidRPr="009A3B65">
        <w:rPr>
          <w:rFonts w:cs="Arial"/>
          <w:lang w:eastAsia="ca-ES"/>
        </w:rPr>
        <w:t xml:space="preserve">TES, </w:t>
      </w:r>
      <w:r w:rsidRPr="009A3B65">
        <w:rPr>
          <w:rFonts w:cs="Arial"/>
          <w:lang w:eastAsia="ca-ES"/>
        </w:rPr>
        <w:t>PRE, EXI i CLT, aquest últim només amb 1 epígraf.</w:t>
      </w:r>
    </w:p>
    <w:p w:rsidR="00986CEA" w:rsidRDefault="00986CEA" w:rsidP="00986CEA">
      <w:pPr>
        <w:spacing w:before="120" w:after="120"/>
        <w:jc w:val="both"/>
        <w:rPr>
          <w:rFonts w:cs="Arial"/>
          <w:lang w:eastAsia="ca-ES"/>
        </w:rPr>
      </w:pPr>
      <w:r w:rsidRPr="009A3B65">
        <w:rPr>
          <w:rFonts w:cs="Arial"/>
          <w:lang w:eastAsia="ca-ES"/>
        </w:rPr>
        <w:t xml:space="preserve">A més, cal significar, </w:t>
      </w:r>
      <w:r w:rsidR="008F1F9C">
        <w:rPr>
          <w:rFonts w:cs="Arial"/>
          <w:lang w:eastAsia="ca-ES"/>
        </w:rPr>
        <w:t xml:space="preserve">en alguns casos </w:t>
      </w:r>
      <w:r w:rsidRPr="009A3B65">
        <w:rPr>
          <w:rFonts w:cs="Arial"/>
          <w:lang w:eastAsia="ca-ES"/>
        </w:rPr>
        <w:t>hi ha epígrafs que només són responsabilitat d’un departament, però aquest centralitza la informació de tots i, per tant, hi ha enllaços a cada un d’ells.</w:t>
      </w:r>
    </w:p>
    <w:p w:rsidR="00986CEA" w:rsidRDefault="00986CEA" w:rsidP="00CA551F">
      <w:pPr>
        <w:spacing w:before="120" w:after="120"/>
        <w:jc w:val="both"/>
        <w:rPr>
          <w:rFonts w:cs="Arial"/>
        </w:rPr>
      </w:pPr>
    </w:p>
    <w:p w:rsidR="00F0757D" w:rsidRPr="009A3B65" w:rsidRDefault="00F0757D" w:rsidP="00CA551F">
      <w:pPr>
        <w:spacing w:before="120" w:after="120"/>
        <w:jc w:val="both"/>
        <w:rPr>
          <w:rFonts w:cs="Arial"/>
        </w:rPr>
      </w:pPr>
    </w:p>
    <w:p w:rsidR="00775613" w:rsidRDefault="004337B0" w:rsidP="00CA551F">
      <w:pPr>
        <w:pStyle w:val="Ttol1"/>
        <w:spacing w:before="120" w:after="120" w:line="240" w:lineRule="auto"/>
        <w:jc w:val="both"/>
        <w:rPr>
          <w:rFonts w:ascii="Arial" w:hAnsi="Arial" w:cs="Arial"/>
        </w:rPr>
      </w:pPr>
      <w:bookmarkStart w:id="23" w:name="_Toc442864026"/>
      <w:bookmarkStart w:id="24" w:name="_Toc14780368"/>
      <w:r>
        <w:rPr>
          <w:rFonts w:ascii="Arial" w:hAnsi="Arial" w:cs="Arial"/>
        </w:rPr>
        <w:t>4</w:t>
      </w:r>
      <w:r w:rsidR="00775613" w:rsidRPr="009A3B65">
        <w:rPr>
          <w:rFonts w:ascii="Arial" w:hAnsi="Arial" w:cs="Arial"/>
        </w:rPr>
        <w:t xml:space="preserve">. </w:t>
      </w:r>
      <w:bookmarkEnd w:id="22"/>
      <w:r w:rsidR="00775613" w:rsidRPr="009A3B65">
        <w:rPr>
          <w:rFonts w:ascii="Arial" w:hAnsi="Arial" w:cs="Arial"/>
        </w:rPr>
        <w:t>M</w:t>
      </w:r>
      <w:bookmarkEnd w:id="23"/>
      <w:r w:rsidR="005C125F">
        <w:rPr>
          <w:rFonts w:ascii="Arial" w:hAnsi="Arial" w:cs="Arial"/>
        </w:rPr>
        <w:t>etodologia d’avaluació</w:t>
      </w:r>
      <w:bookmarkEnd w:id="24"/>
    </w:p>
    <w:p w:rsidR="00F0757D" w:rsidRDefault="00F0757D" w:rsidP="00F0757D"/>
    <w:p w:rsidR="0004029C" w:rsidRPr="0004029C" w:rsidRDefault="004337B0" w:rsidP="0004029C">
      <w:pPr>
        <w:pStyle w:val="Ttol2"/>
        <w:rPr>
          <w:rFonts w:ascii="Arial" w:hAnsi="Arial" w:cs="Arial"/>
        </w:rPr>
      </w:pPr>
      <w:bookmarkStart w:id="25" w:name="_Toc14780369"/>
      <w:r>
        <w:rPr>
          <w:rFonts w:ascii="Arial" w:hAnsi="Arial" w:cs="Arial"/>
        </w:rPr>
        <w:t>4</w:t>
      </w:r>
      <w:r w:rsidR="0004029C" w:rsidRPr="0004029C">
        <w:rPr>
          <w:rFonts w:ascii="Arial" w:hAnsi="Arial" w:cs="Arial"/>
        </w:rPr>
        <w:t>.1 Model d’avaluació</w:t>
      </w:r>
      <w:bookmarkEnd w:id="25"/>
    </w:p>
    <w:p w:rsidR="000676E8" w:rsidRPr="009A3B65" w:rsidRDefault="000676E8" w:rsidP="000676E8">
      <w:pPr>
        <w:spacing w:before="120" w:after="120"/>
        <w:jc w:val="both"/>
        <w:rPr>
          <w:rFonts w:cs="Arial"/>
        </w:rPr>
      </w:pPr>
      <w:r>
        <w:rPr>
          <w:rFonts w:cs="Arial"/>
        </w:rPr>
        <w:t>L</w:t>
      </w:r>
      <w:r w:rsidR="0004730A" w:rsidRPr="009A3B65">
        <w:rPr>
          <w:rFonts w:cs="Arial"/>
        </w:rPr>
        <w:t xml:space="preserve">a Secretaria de Transparència i Govern Obert </w:t>
      </w:r>
      <w:r w:rsidR="00CB6DBD">
        <w:rPr>
          <w:rFonts w:cs="Arial"/>
        </w:rPr>
        <w:t>v</w:t>
      </w:r>
      <w:r w:rsidR="00775613" w:rsidRPr="009A3B65">
        <w:rPr>
          <w:rFonts w:cs="Arial"/>
        </w:rPr>
        <w:t>a elabora</w:t>
      </w:r>
      <w:r w:rsidR="00CB6DBD">
        <w:rPr>
          <w:rFonts w:cs="Arial"/>
        </w:rPr>
        <w:t>r</w:t>
      </w:r>
      <w:r w:rsidR="00775613" w:rsidRPr="009A3B65">
        <w:rPr>
          <w:rFonts w:cs="Arial"/>
        </w:rPr>
        <w:t xml:space="preserve"> </w:t>
      </w:r>
      <w:r w:rsidR="0004730A" w:rsidRPr="009A3B65">
        <w:rPr>
          <w:rFonts w:cs="Arial"/>
        </w:rPr>
        <w:t>un</w:t>
      </w:r>
      <w:r w:rsidR="00775613" w:rsidRPr="009A3B65">
        <w:rPr>
          <w:rFonts w:cs="Arial"/>
        </w:rPr>
        <w:t xml:space="preserve"> </w:t>
      </w:r>
      <w:r w:rsidR="008A71E2">
        <w:rPr>
          <w:rFonts w:cs="Arial"/>
        </w:rPr>
        <w:t>M</w:t>
      </w:r>
      <w:r w:rsidR="00775613" w:rsidRPr="009A3B65">
        <w:rPr>
          <w:rFonts w:cs="Arial"/>
        </w:rPr>
        <w:t>odel d’avaluació</w:t>
      </w:r>
      <w:r w:rsidR="004A6FBA">
        <w:rPr>
          <w:rStyle w:val="Refernciadenotaapeudepgina"/>
          <w:rFonts w:cs="Arial"/>
        </w:rPr>
        <w:footnoteReference w:id="8"/>
      </w:r>
      <w:r>
        <w:rPr>
          <w:rFonts w:cs="Arial"/>
        </w:rPr>
        <w:t xml:space="preserve"> </w:t>
      </w:r>
      <w:r w:rsidR="00CB6DBD">
        <w:rPr>
          <w:rFonts w:cs="Arial"/>
        </w:rPr>
        <w:t>amb la finalitat de conèixer</w:t>
      </w:r>
      <w:r w:rsidR="00775613" w:rsidRPr="009A3B65">
        <w:rPr>
          <w:rFonts w:cs="Arial"/>
        </w:rPr>
        <w:t xml:space="preserve"> en quina mesura </w:t>
      </w:r>
      <w:r w:rsidR="00C44CE5" w:rsidRPr="009A3B65">
        <w:rPr>
          <w:rFonts w:cs="Arial"/>
        </w:rPr>
        <w:t>l’Administració de la</w:t>
      </w:r>
      <w:r w:rsidR="006D6D2F">
        <w:rPr>
          <w:rFonts w:cs="Arial"/>
        </w:rPr>
        <w:t xml:space="preserve"> Generalitat compleix</w:t>
      </w:r>
      <w:r w:rsidR="00775613" w:rsidRPr="009A3B65">
        <w:rPr>
          <w:rFonts w:cs="Arial"/>
        </w:rPr>
        <w:t xml:space="preserve"> amb </w:t>
      </w:r>
      <w:r w:rsidR="0062466C">
        <w:rPr>
          <w:rFonts w:cs="Arial"/>
        </w:rPr>
        <w:t>llurs</w:t>
      </w:r>
      <w:r w:rsidR="00775613" w:rsidRPr="009A3B65">
        <w:rPr>
          <w:rFonts w:cs="Arial"/>
        </w:rPr>
        <w:t xml:space="preserve"> obligacions </w:t>
      </w:r>
      <w:r w:rsidR="0062466C">
        <w:rPr>
          <w:rFonts w:cs="Arial"/>
        </w:rPr>
        <w:t>de transparència</w:t>
      </w:r>
      <w:r w:rsidR="00775613" w:rsidRPr="009A3B65">
        <w:rPr>
          <w:rFonts w:cs="Arial"/>
        </w:rPr>
        <w:t xml:space="preserve">, </w:t>
      </w:r>
      <w:r w:rsidR="00EE3220" w:rsidRPr="009A3B65">
        <w:rPr>
          <w:rFonts w:cs="Arial"/>
        </w:rPr>
        <w:t>d’acord amb</w:t>
      </w:r>
      <w:r w:rsidR="00775613" w:rsidRPr="009A3B65">
        <w:rPr>
          <w:rFonts w:cs="Arial"/>
        </w:rPr>
        <w:t xml:space="preserve"> </w:t>
      </w:r>
      <w:r w:rsidR="00C44CE5" w:rsidRPr="009A3B65">
        <w:rPr>
          <w:rFonts w:cs="Arial"/>
        </w:rPr>
        <w:t>l’</w:t>
      </w:r>
      <w:r w:rsidR="00D732B8" w:rsidRPr="009A3B65">
        <w:rPr>
          <w:rFonts w:cs="Arial"/>
        </w:rPr>
        <w:t xml:space="preserve">establert </w:t>
      </w:r>
      <w:r w:rsidR="00EE3220" w:rsidRPr="009A3B65">
        <w:rPr>
          <w:rFonts w:cs="Arial"/>
        </w:rPr>
        <w:t>en</w:t>
      </w:r>
      <w:r w:rsidR="00D732B8" w:rsidRPr="009A3B65">
        <w:rPr>
          <w:rFonts w:cs="Arial"/>
        </w:rPr>
        <w:t xml:space="preserve"> la pròpia Llei</w:t>
      </w:r>
      <w:r w:rsidR="00533DB7" w:rsidRPr="009A3B65">
        <w:rPr>
          <w:rFonts w:cs="Arial"/>
        </w:rPr>
        <w:t xml:space="preserve"> 19/2014</w:t>
      </w:r>
      <w:r w:rsidR="00D732B8" w:rsidRPr="009A3B65">
        <w:rPr>
          <w:rFonts w:cs="Arial"/>
        </w:rPr>
        <w:t xml:space="preserve"> i </w:t>
      </w:r>
      <w:r w:rsidR="0062466C">
        <w:rPr>
          <w:rFonts w:cs="Arial"/>
        </w:rPr>
        <w:t>en e</w:t>
      </w:r>
      <w:r w:rsidR="00775613" w:rsidRPr="009A3B65">
        <w:rPr>
          <w:rFonts w:cs="Arial"/>
        </w:rPr>
        <w:t>ls criteris</w:t>
      </w:r>
      <w:r w:rsidR="004A6FBA">
        <w:rPr>
          <w:rFonts w:cs="Arial"/>
        </w:rPr>
        <w:t xml:space="preserve"> de publicitat activa</w:t>
      </w:r>
      <w:r w:rsidR="00775613" w:rsidRPr="009A3B65">
        <w:rPr>
          <w:rFonts w:cs="Arial"/>
        </w:rPr>
        <w:t xml:space="preserve"> aprovats. </w:t>
      </w:r>
      <w:r>
        <w:rPr>
          <w:rFonts w:cs="Arial"/>
        </w:rPr>
        <w:t>El</w:t>
      </w:r>
      <w:r w:rsidRPr="009A3B65">
        <w:rPr>
          <w:rFonts w:cs="Arial"/>
        </w:rPr>
        <w:t xml:space="preserve"> </w:t>
      </w:r>
      <w:r>
        <w:rPr>
          <w:rFonts w:cs="Arial"/>
        </w:rPr>
        <w:t>model</w:t>
      </w:r>
      <w:r w:rsidRPr="009A3B65">
        <w:rPr>
          <w:rFonts w:cs="Arial"/>
        </w:rPr>
        <w:t xml:space="preserve"> es va dissenyar amb l’objectiu que </w:t>
      </w:r>
      <w:r w:rsidR="006D6D2F">
        <w:rPr>
          <w:rFonts w:cs="Arial"/>
        </w:rPr>
        <w:t>sigui adaptable a</w:t>
      </w:r>
      <w:r w:rsidRPr="009A3B65">
        <w:rPr>
          <w:rFonts w:cs="Arial"/>
        </w:rPr>
        <w:t xml:space="preserve"> canvis en els criteris,</w:t>
      </w:r>
      <w:r w:rsidR="006D6D2F">
        <w:rPr>
          <w:rFonts w:cs="Arial"/>
        </w:rPr>
        <w:t xml:space="preserve"> els</w:t>
      </w:r>
      <w:r w:rsidRPr="009A3B65">
        <w:rPr>
          <w:rFonts w:cs="Arial"/>
        </w:rPr>
        <w:t xml:space="preserve"> indicadors o</w:t>
      </w:r>
      <w:r w:rsidR="006D6D2F">
        <w:rPr>
          <w:rFonts w:cs="Arial"/>
        </w:rPr>
        <w:t xml:space="preserve"> els</w:t>
      </w:r>
      <w:r w:rsidRPr="009A3B65">
        <w:rPr>
          <w:rFonts w:cs="Arial"/>
        </w:rPr>
        <w:t xml:space="preserve"> continguts a avaluar. </w:t>
      </w:r>
    </w:p>
    <w:p w:rsidR="00775613" w:rsidRPr="009A3B65" w:rsidRDefault="000676E8" w:rsidP="00CA551F">
      <w:pPr>
        <w:spacing w:before="120" w:after="120"/>
        <w:jc w:val="both"/>
        <w:rPr>
          <w:rFonts w:cs="Arial"/>
        </w:rPr>
      </w:pPr>
      <w:r>
        <w:rPr>
          <w:rFonts w:cs="Arial"/>
        </w:rPr>
        <w:t>Aquest model</w:t>
      </w:r>
      <w:r w:rsidR="006D6D2F">
        <w:rPr>
          <w:rFonts w:cs="Arial"/>
        </w:rPr>
        <w:t xml:space="preserve"> </w:t>
      </w:r>
      <w:r>
        <w:rPr>
          <w:rFonts w:cs="Arial"/>
        </w:rPr>
        <w:t>va ser</w:t>
      </w:r>
      <w:r w:rsidR="00D96BBA">
        <w:rPr>
          <w:rFonts w:cs="Arial"/>
        </w:rPr>
        <w:t xml:space="preserve"> aprova</w:t>
      </w:r>
      <w:r>
        <w:rPr>
          <w:rFonts w:cs="Arial"/>
        </w:rPr>
        <w:t>r</w:t>
      </w:r>
      <w:r w:rsidR="00D96BBA">
        <w:rPr>
          <w:rFonts w:cs="Arial"/>
        </w:rPr>
        <w:t xml:space="preserve"> </w:t>
      </w:r>
      <w:r w:rsidR="00F84F12">
        <w:rPr>
          <w:rFonts w:cs="Arial"/>
        </w:rPr>
        <w:t xml:space="preserve">per </w:t>
      </w:r>
      <w:r w:rsidR="00D96BBA">
        <w:rPr>
          <w:rFonts w:cs="Arial"/>
        </w:rPr>
        <w:t>la CITGO</w:t>
      </w:r>
      <w:r w:rsidR="00F84F12">
        <w:rPr>
          <w:rFonts w:cs="Arial"/>
        </w:rPr>
        <w:t xml:space="preserve"> a la reunió de 19 de novembre de 2018</w:t>
      </w:r>
      <w:r>
        <w:rPr>
          <w:rFonts w:cs="Arial"/>
        </w:rPr>
        <w:t xml:space="preserve"> i es el que es fa servir per a l’avaluació d’aquest any</w:t>
      </w:r>
      <w:r w:rsidR="00F84F12">
        <w:rPr>
          <w:rFonts w:cs="Arial"/>
        </w:rPr>
        <w:t>.</w:t>
      </w:r>
    </w:p>
    <w:p w:rsidR="00416C9C" w:rsidRPr="009A3B65" w:rsidRDefault="00775613" w:rsidP="00CA551F">
      <w:pPr>
        <w:spacing w:before="120" w:after="120"/>
        <w:jc w:val="both"/>
        <w:rPr>
          <w:rFonts w:cs="Arial"/>
        </w:rPr>
      </w:pPr>
      <w:r w:rsidRPr="009A3B65">
        <w:rPr>
          <w:rFonts w:cs="Arial"/>
        </w:rPr>
        <w:t>El model permet assignar una puntuació sobre el grau de compliment de les obligacions</w:t>
      </w:r>
      <w:r w:rsidR="006D6D2F">
        <w:rPr>
          <w:rFonts w:cs="Arial"/>
        </w:rPr>
        <w:t xml:space="preserve"> de transparència</w:t>
      </w:r>
      <w:r w:rsidRPr="009A3B65">
        <w:rPr>
          <w:rFonts w:cs="Arial"/>
        </w:rPr>
        <w:t xml:space="preserve"> </w:t>
      </w:r>
      <w:r w:rsidR="0062466C">
        <w:rPr>
          <w:rFonts w:cs="Arial"/>
        </w:rPr>
        <w:t xml:space="preserve">respecte </w:t>
      </w:r>
      <w:r w:rsidRPr="009A3B65">
        <w:rPr>
          <w:rFonts w:cs="Arial"/>
        </w:rPr>
        <w:t xml:space="preserve">de cada </w:t>
      </w:r>
      <w:r w:rsidR="003E1BBB" w:rsidRPr="009A3B65">
        <w:rPr>
          <w:rFonts w:cs="Arial"/>
        </w:rPr>
        <w:t>epígraf</w:t>
      </w:r>
      <w:r w:rsidR="0062466C">
        <w:rPr>
          <w:rFonts w:cs="Arial"/>
        </w:rPr>
        <w:t xml:space="preserve"> o informació subjecta a publicitat activa</w:t>
      </w:r>
      <w:r w:rsidR="00533DB7" w:rsidRPr="009A3B65">
        <w:rPr>
          <w:rFonts w:cs="Arial"/>
        </w:rPr>
        <w:t xml:space="preserve">. </w:t>
      </w:r>
    </w:p>
    <w:p w:rsidR="006E1158" w:rsidRPr="009A3B65" w:rsidRDefault="006E1158" w:rsidP="006E1158">
      <w:pPr>
        <w:spacing w:before="120" w:after="120"/>
        <w:jc w:val="both"/>
        <w:rPr>
          <w:rFonts w:cs="Arial"/>
        </w:rPr>
      </w:pPr>
      <w:r w:rsidRPr="009A3B65">
        <w:rPr>
          <w:rFonts w:cs="Arial"/>
        </w:rPr>
        <w:t>L’avaluació s’ha enfocat en</w:t>
      </w:r>
      <w:r w:rsidR="006D6D2F">
        <w:rPr>
          <w:rFonts w:cs="Arial"/>
        </w:rPr>
        <w:t xml:space="preserve"> l’estructura actual</w:t>
      </w:r>
      <w:r w:rsidRPr="009A3B65">
        <w:rPr>
          <w:rFonts w:cs="Arial"/>
        </w:rPr>
        <w:t xml:space="preserve"> </w:t>
      </w:r>
      <w:r w:rsidR="006D6D2F">
        <w:rPr>
          <w:rFonts w:cs="Arial"/>
        </w:rPr>
        <w:t>d</w:t>
      </w:r>
      <w:r w:rsidRPr="009A3B65">
        <w:rPr>
          <w:rFonts w:cs="Arial"/>
        </w:rPr>
        <w:t>el Portal de</w:t>
      </w:r>
      <w:r w:rsidR="006D6D2F">
        <w:rPr>
          <w:rFonts w:cs="Arial"/>
        </w:rPr>
        <w:t xml:space="preserve"> la</w:t>
      </w:r>
      <w:r w:rsidRPr="009A3B65">
        <w:rPr>
          <w:rFonts w:cs="Arial"/>
        </w:rPr>
        <w:t xml:space="preserve"> Transparència, entenent que el ciutadà ha de ser capaç de trobar la informació subjecta a transparència d’un departament determinat des del Portal. </w:t>
      </w:r>
    </w:p>
    <w:p w:rsidR="00775613" w:rsidRPr="009A3B65" w:rsidRDefault="00775613" w:rsidP="00CA551F">
      <w:pPr>
        <w:spacing w:before="120" w:after="120"/>
        <w:jc w:val="both"/>
        <w:rPr>
          <w:rFonts w:eastAsiaTheme="majorEastAsia" w:cs="Arial"/>
          <w:color w:val="365F91" w:themeColor="accent1" w:themeShade="BF"/>
          <w:sz w:val="26"/>
          <w:szCs w:val="26"/>
        </w:rPr>
      </w:pPr>
      <w:bookmarkStart w:id="26" w:name="_Toc436948374"/>
      <w:bookmarkStart w:id="27" w:name="_Toc438658773"/>
    </w:p>
    <w:p w:rsidR="00775613" w:rsidRPr="009A3B65" w:rsidRDefault="004337B0" w:rsidP="00CA551F">
      <w:pPr>
        <w:pStyle w:val="Ttol2"/>
        <w:spacing w:before="120" w:after="120" w:line="240" w:lineRule="auto"/>
        <w:jc w:val="both"/>
        <w:rPr>
          <w:rFonts w:ascii="Arial" w:hAnsi="Arial" w:cs="Arial"/>
        </w:rPr>
      </w:pPr>
      <w:bookmarkStart w:id="28" w:name="_Toc442864028"/>
      <w:bookmarkStart w:id="29" w:name="_Toc14780370"/>
      <w:r>
        <w:rPr>
          <w:rFonts w:ascii="Arial" w:hAnsi="Arial" w:cs="Arial"/>
        </w:rPr>
        <w:t>4</w:t>
      </w:r>
      <w:r w:rsidR="00E62A2A">
        <w:rPr>
          <w:rFonts w:ascii="Arial" w:hAnsi="Arial" w:cs="Arial"/>
        </w:rPr>
        <w:t>.</w:t>
      </w:r>
      <w:r w:rsidR="0004029C">
        <w:rPr>
          <w:rFonts w:ascii="Arial" w:hAnsi="Arial" w:cs="Arial"/>
        </w:rPr>
        <w:t>2</w:t>
      </w:r>
      <w:r w:rsidR="00775613" w:rsidRPr="009A3B65">
        <w:rPr>
          <w:rFonts w:ascii="Arial" w:hAnsi="Arial" w:cs="Arial"/>
        </w:rPr>
        <w:t xml:space="preserve"> Indicadors</w:t>
      </w:r>
      <w:bookmarkEnd w:id="26"/>
      <w:r w:rsidR="00775613" w:rsidRPr="009A3B65">
        <w:rPr>
          <w:rFonts w:ascii="Arial" w:hAnsi="Arial" w:cs="Arial"/>
        </w:rPr>
        <w:t xml:space="preserve"> d’avaluació</w:t>
      </w:r>
      <w:bookmarkEnd w:id="27"/>
      <w:bookmarkEnd w:id="28"/>
      <w:bookmarkEnd w:id="29"/>
    </w:p>
    <w:p w:rsidR="00775613" w:rsidRDefault="00775613" w:rsidP="00CA551F">
      <w:pPr>
        <w:spacing w:before="120" w:after="120"/>
        <w:jc w:val="both"/>
        <w:rPr>
          <w:rFonts w:cs="Arial"/>
        </w:rPr>
      </w:pPr>
      <w:r w:rsidRPr="009A3B65">
        <w:rPr>
          <w:rFonts w:cs="Arial"/>
        </w:rPr>
        <w:t xml:space="preserve">Per tal d’analitzar d’una forma homogènia i sistemàtica l’estat actual </w:t>
      </w:r>
      <w:r w:rsidR="00C65C7E">
        <w:rPr>
          <w:rFonts w:cs="Arial"/>
        </w:rPr>
        <w:t xml:space="preserve">de les obligacions de transparència </w:t>
      </w:r>
      <w:r w:rsidR="006B7953" w:rsidRPr="009A3B65">
        <w:rPr>
          <w:rFonts w:cs="Arial"/>
        </w:rPr>
        <w:t>que determina la Llei</w:t>
      </w:r>
      <w:r w:rsidR="006B7953">
        <w:rPr>
          <w:rFonts w:cs="Arial"/>
        </w:rPr>
        <w:t xml:space="preserve"> </w:t>
      </w:r>
      <w:r w:rsidR="00C65C7E">
        <w:rPr>
          <w:rFonts w:cs="Arial"/>
        </w:rPr>
        <w:t>respecte de la informació sotmesa a publicitat activa al P</w:t>
      </w:r>
      <w:r w:rsidRPr="009A3B65">
        <w:rPr>
          <w:rFonts w:cs="Arial"/>
        </w:rPr>
        <w:t>ortal de</w:t>
      </w:r>
      <w:r w:rsidR="00C65C7E">
        <w:rPr>
          <w:rFonts w:cs="Arial"/>
        </w:rPr>
        <w:t xml:space="preserve"> la</w:t>
      </w:r>
      <w:r w:rsidRPr="009A3B65">
        <w:rPr>
          <w:rFonts w:cs="Arial"/>
        </w:rPr>
        <w:t xml:space="preserve"> Transparència, </w:t>
      </w:r>
      <w:r w:rsidR="004A6FBA">
        <w:rPr>
          <w:rFonts w:cs="Arial"/>
        </w:rPr>
        <w:t xml:space="preserve">el model d’avaluació es fonamenta en la valoració de </w:t>
      </w:r>
      <w:r w:rsidR="001E7BB4" w:rsidRPr="009A3B65">
        <w:rPr>
          <w:rFonts w:cs="Arial"/>
        </w:rPr>
        <w:t>quatre</w:t>
      </w:r>
      <w:r w:rsidRPr="009A3B65">
        <w:rPr>
          <w:rFonts w:cs="Arial"/>
        </w:rPr>
        <w:t xml:space="preserve"> indicadors. Aquests indicadors són els següents:</w:t>
      </w:r>
    </w:p>
    <w:p w:rsidR="005609BE" w:rsidRPr="009A3B65" w:rsidRDefault="005609BE" w:rsidP="00CA551F">
      <w:pPr>
        <w:spacing w:before="120" w:after="120"/>
        <w:jc w:val="both"/>
        <w:rPr>
          <w:rFonts w:cs="Arial"/>
        </w:rPr>
      </w:pPr>
    </w:p>
    <w:p w:rsidR="00775613" w:rsidRPr="009A3B65" w:rsidRDefault="00775613" w:rsidP="006B7953">
      <w:pPr>
        <w:pStyle w:val="Pargrafdellista"/>
        <w:numPr>
          <w:ilvl w:val="0"/>
          <w:numId w:val="3"/>
        </w:numPr>
        <w:spacing w:after="0" w:line="240" w:lineRule="auto"/>
        <w:ind w:left="714" w:hanging="357"/>
        <w:contextualSpacing w:val="0"/>
        <w:jc w:val="both"/>
        <w:rPr>
          <w:rFonts w:ascii="Arial" w:hAnsi="Arial" w:cs="Arial"/>
        </w:rPr>
      </w:pPr>
      <w:r w:rsidRPr="009A3B65">
        <w:rPr>
          <w:rFonts w:ascii="Arial" w:hAnsi="Arial" w:cs="Arial"/>
        </w:rPr>
        <w:t>Presentació</w:t>
      </w:r>
    </w:p>
    <w:p w:rsidR="00775613" w:rsidRPr="009A3B65" w:rsidRDefault="00775613" w:rsidP="006B7953">
      <w:pPr>
        <w:pStyle w:val="Pargrafdellista"/>
        <w:numPr>
          <w:ilvl w:val="0"/>
          <w:numId w:val="3"/>
        </w:numPr>
        <w:spacing w:after="0" w:line="240" w:lineRule="auto"/>
        <w:ind w:left="714" w:hanging="357"/>
        <w:contextualSpacing w:val="0"/>
        <w:jc w:val="both"/>
        <w:rPr>
          <w:rFonts w:ascii="Arial" w:hAnsi="Arial" w:cs="Arial"/>
        </w:rPr>
      </w:pPr>
      <w:r w:rsidRPr="009A3B65">
        <w:rPr>
          <w:rFonts w:ascii="Arial" w:hAnsi="Arial" w:cs="Arial"/>
        </w:rPr>
        <w:t>Accessibilitat</w:t>
      </w:r>
    </w:p>
    <w:p w:rsidR="00775613" w:rsidRPr="009A3B65" w:rsidRDefault="001E7BB4" w:rsidP="006B7953">
      <w:pPr>
        <w:pStyle w:val="Pargrafdellista"/>
        <w:numPr>
          <w:ilvl w:val="0"/>
          <w:numId w:val="3"/>
        </w:numPr>
        <w:spacing w:after="0" w:line="240" w:lineRule="auto"/>
        <w:ind w:left="714" w:hanging="357"/>
        <w:contextualSpacing w:val="0"/>
        <w:jc w:val="both"/>
        <w:rPr>
          <w:rFonts w:ascii="Arial" w:hAnsi="Arial" w:cs="Arial"/>
        </w:rPr>
      </w:pPr>
      <w:r w:rsidRPr="009A3B65">
        <w:rPr>
          <w:rFonts w:ascii="Arial" w:hAnsi="Arial" w:cs="Arial"/>
        </w:rPr>
        <w:t>Contingut i data</w:t>
      </w:r>
    </w:p>
    <w:p w:rsidR="001E7BB4" w:rsidRDefault="00775613" w:rsidP="006B7953">
      <w:pPr>
        <w:pStyle w:val="Pargrafdellista"/>
        <w:numPr>
          <w:ilvl w:val="0"/>
          <w:numId w:val="3"/>
        </w:numPr>
        <w:spacing w:after="0" w:line="240" w:lineRule="auto"/>
        <w:ind w:left="714" w:hanging="357"/>
        <w:contextualSpacing w:val="0"/>
        <w:jc w:val="both"/>
        <w:rPr>
          <w:rFonts w:ascii="Arial" w:hAnsi="Arial" w:cs="Arial"/>
        </w:rPr>
      </w:pPr>
      <w:r w:rsidRPr="009A3B65">
        <w:rPr>
          <w:rFonts w:ascii="Arial" w:hAnsi="Arial" w:cs="Arial"/>
        </w:rPr>
        <w:t>F</w:t>
      </w:r>
      <w:r w:rsidR="001E7BB4" w:rsidRPr="009A3B65">
        <w:rPr>
          <w:rFonts w:ascii="Arial" w:hAnsi="Arial" w:cs="Arial"/>
        </w:rPr>
        <w:t>ont, f</w:t>
      </w:r>
      <w:r w:rsidRPr="009A3B65">
        <w:rPr>
          <w:rFonts w:ascii="Arial" w:hAnsi="Arial" w:cs="Arial"/>
        </w:rPr>
        <w:t>ormat</w:t>
      </w:r>
      <w:r w:rsidR="003870D1">
        <w:rPr>
          <w:rFonts w:ascii="Arial" w:hAnsi="Arial" w:cs="Arial"/>
        </w:rPr>
        <w:t xml:space="preserve"> i</w:t>
      </w:r>
      <w:r w:rsidR="001E7BB4" w:rsidRPr="009A3B65">
        <w:rPr>
          <w:rFonts w:ascii="Arial" w:hAnsi="Arial" w:cs="Arial"/>
        </w:rPr>
        <w:t xml:space="preserve"> </w:t>
      </w:r>
      <w:bookmarkStart w:id="30" w:name="_Toc437254897"/>
      <w:bookmarkStart w:id="31" w:name="_Toc509999582"/>
      <w:bookmarkStart w:id="32" w:name="_Toc437254896"/>
      <w:r w:rsidR="003870D1">
        <w:rPr>
          <w:rFonts w:ascii="Arial" w:hAnsi="Arial" w:cs="Arial"/>
        </w:rPr>
        <w:t>actualització</w:t>
      </w:r>
    </w:p>
    <w:p w:rsidR="00CA551F" w:rsidRPr="009A3B65" w:rsidRDefault="00CA551F" w:rsidP="00CA551F">
      <w:pPr>
        <w:pStyle w:val="Pargrafdellista"/>
        <w:spacing w:before="120" w:after="120" w:line="240" w:lineRule="auto"/>
        <w:contextualSpacing w:val="0"/>
        <w:jc w:val="both"/>
        <w:rPr>
          <w:rFonts w:ascii="Arial" w:hAnsi="Arial" w:cs="Arial"/>
        </w:rPr>
      </w:pPr>
    </w:p>
    <w:p w:rsidR="00D145B4" w:rsidRPr="009A3B65" w:rsidRDefault="00D145B4" w:rsidP="00CA551F">
      <w:pPr>
        <w:keepNext/>
        <w:keepLines/>
        <w:spacing w:before="120" w:after="120"/>
        <w:jc w:val="both"/>
        <w:rPr>
          <w:rFonts w:eastAsiaTheme="majorEastAsia" w:cs="Arial"/>
          <w:b/>
          <w:bCs/>
          <w:i/>
          <w:iCs/>
          <w:color w:val="4F81BD" w:themeColor="accent1"/>
        </w:rPr>
      </w:pPr>
      <w:bookmarkStart w:id="33" w:name="_Toc523759297"/>
      <w:bookmarkEnd w:id="30"/>
      <w:bookmarkEnd w:id="31"/>
      <w:bookmarkEnd w:id="32"/>
      <w:r w:rsidRPr="009A3B65">
        <w:rPr>
          <w:rFonts w:eastAsiaTheme="majorEastAsia" w:cs="Arial"/>
          <w:b/>
          <w:bCs/>
          <w:i/>
          <w:iCs/>
          <w:color w:val="4F81BD" w:themeColor="accent1"/>
        </w:rPr>
        <w:t>1) Presentació de la informació (Presentació)</w:t>
      </w:r>
      <w:bookmarkEnd w:id="33"/>
    </w:p>
    <w:p w:rsidR="00453777" w:rsidRPr="00DE68CA" w:rsidRDefault="00453777" w:rsidP="0045377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bookmarkStart w:id="34" w:name="_Toc523759298"/>
      <w:r w:rsidRPr="008F0EF0">
        <w:rPr>
          <w:rFonts w:cs="Arial"/>
        </w:rPr>
        <w:t>Fa referència a</w:t>
      </w:r>
      <w:r>
        <w:rPr>
          <w:rFonts w:cs="Arial"/>
        </w:rPr>
        <w:t xml:space="preserve"> la informació que es troba dins de cada epígraf i dins les pàgines a què s’hi enllaci. A través d’aquest indicador es vol comprovar el següent: si hi ha </w:t>
      </w:r>
      <w:r w:rsidRPr="00FF203D">
        <w:rPr>
          <w:rFonts w:cs="Arial"/>
          <w:b/>
        </w:rPr>
        <w:t>una bona descripció del que s’esmenta al títol</w:t>
      </w:r>
      <w:r>
        <w:rPr>
          <w:rFonts w:cs="Arial"/>
        </w:rPr>
        <w:t xml:space="preserve">; si aquesta és </w:t>
      </w:r>
      <w:r w:rsidRPr="00FF203D">
        <w:rPr>
          <w:rFonts w:cs="Arial"/>
          <w:b/>
        </w:rPr>
        <w:t>comprensible</w:t>
      </w:r>
      <w:r>
        <w:rPr>
          <w:rFonts w:cs="Arial"/>
        </w:rPr>
        <w:t xml:space="preserve">; si s’indica i explica </w:t>
      </w:r>
      <w:r w:rsidRPr="00FF203D">
        <w:rPr>
          <w:rFonts w:cs="Arial"/>
          <w:b/>
        </w:rPr>
        <w:t>quina informació es podrà trobar o consultar</w:t>
      </w:r>
      <w:r>
        <w:rPr>
          <w:rFonts w:cs="Arial"/>
        </w:rPr>
        <w:t xml:space="preserve">; si s’hi indiquen </w:t>
      </w:r>
      <w:r w:rsidRPr="00FF203D">
        <w:rPr>
          <w:rFonts w:cs="Arial"/>
          <w:b/>
        </w:rPr>
        <w:t>els enllaços per accedir a la informació</w:t>
      </w:r>
      <w:r>
        <w:rPr>
          <w:rFonts w:cs="Arial"/>
          <w:b/>
        </w:rPr>
        <w:t>;</w:t>
      </w:r>
      <w:r>
        <w:rPr>
          <w:rFonts w:cs="Arial"/>
        </w:rPr>
        <w:t xml:space="preserve"> i si el format de </w:t>
      </w:r>
      <w:r w:rsidRPr="00FF203D">
        <w:rPr>
          <w:rFonts w:cs="Arial"/>
          <w:b/>
        </w:rPr>
        <w:t>presentació de l</w:t>
      </w:r>
      <w:r>
        <w:rPr>
          <w:rFonts w:cs="Arial"/>
          <w:b/>
        </w:rPr>
        <w:t>es</w:t>
      </w:r>
      <w:r w:rsidRPr="00FF203D">
        <w:rPr>
          <w:rFonts w:cs="Arial"/>
          <w:b/>
        </w:rPr>
        <w:t xml:space="preserve"> pàgin</w:t>
      </w:r>
      <w:r>
        <w:rPr>
          <w:rFonts w:cs="Arial"/>
          <w:b/>
        </w:rPr>
        <w:t>es del Portal o dels webs departamentals (en el cas que hi hagi informació de més d’un departament)</w:t>
      </w:r>
      <w:r w:rsidRPr="00FF203D">
        <w:rPr>
          <w:rFonts w:cs="Arial"/>
          <w:b/>
        </w:rPr>
        <w:t xml:space="preserve"> és homogeni</w:t>
      </w:r>
      <w:r w:rsidRPr="008F0EF0">
        <w:rPr>
          <w:rFonts w:cs="Arial"/>
        </w:rPr>
        <w:t>.</w:t>
      </w:r>
      <w:r>
        <w:rPr>
          <w:rFonts w:cs="Arial"/>
        </w:rPr>
        <w:t xml:space="preserve"> </w:t>
      </w:r>
      <w:bookmarkStart w:id="35" w:name="_Toc437254899"/>
    </w:p>
    <w:bookmarkEnd w:id="35"/>
    <w:p w:rsidR="00D145B4" w:rsidRPr="009A3B65" w:rsidRDefault="00D145B4" w:rsidP="00CA551F">
      <w:pPr>
        <w:keepNext/>
        <w:keepLines/>
        <w:spacing w:before="120" w:after="120"/>
        <w:jc w:val="both"/>
        <w:rPr>
          <w:rFonts w:eastAsiaTheme="majorEastAsia" w:cs="Arial"/>
          <w:b/>
          <w:bCs/>
          <w:i/>
          <w:iCs/>
          <w:color w:val="4F81BD" w:themeColor="accent1"/>
        </w:rPr>
      </w:pPr>
      <w:r w:rsidRPr="009A3B65">
        <w:rPr>
          <w:rFonts w:eastAsiaTheme="majorEastAsia" w:cs="Arial"/>
          <w:b/>
          <w:bCs/>
          <w:i/>
          <w:iCs/>
          <w:color w:val="4F81BD" w:themeColor="accent1"/>
        </w:rPr>
        <w:t>2) Accessibilitat a la informació (Accessibilitat)</w:t>
      </w:r>
      <w:bookmarkEnd w:id="34"/>
    </w:p>
    <w:p w:rsidR="00D145B4" w:rsidRPr="009A3B65" w:rsidRDefault="00453777" w:rsidP="0045377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r>
        <w:rPr>
          <w:rFonts w:cs="Arial"/>
        </w:rPr>
        <w:t>L’indicador</w:t>
      </w:r>
      <w:r w:rsidRPr="008F0EF0">
        <w:rPr>
          <w:rFonts w:cs="Arial"/>
        </w:rPr>
        <w:t xml:space="preserve"> pretén analitzar</w:t>
      </w:r>
      <w:r>
        <w:rPr>
          <w:rFonts w:cs="Arial"/>
        </w:rPr>
        <w:t>: si</w:t>
      </w:r>
      <w:r w:rsidRPr="008F0EF0">
        <w:rPr>
          <w:rFonts w:cs="Arial"/>
        </w:rPr>
        <w:t xml:space="preserve"> </w:t>
      </w:r>
      <w:r>
        <w:rPr>
          <w:rFonts w:cs="Arial"/>
        </w:rPr>
        <w:t>és</w:t>
      </w:r>
      <w:r w:rsidRPr="008F0EF0">
        <w:rPr>
          <w:rFonts w:cs="Arial"/>
        </w:rPr>
        <w:t xml:space="preserve"> </w:t>
      </w:r>
      <w:r w:rsidRPr="00FF203D">
        <w:rPr>
          <w:rFonts w:cs="Arial"/>
          <w:b/>
        </w:rPr>
        <w:t>f</w:t>
      </w:r>
      <w:r>
        <w:rPr>
          <w:rFonts w:cs="Arial"/>
          <w:b/>
        </w:rPr>
        <w:t>à</w:t>
      </w:r>
      <w:r w:rsidRPr="00FF203D">
        <w:rPr>
          <w:rFonts w:cs="Arial"/>
          <w:b/>
        </w:rPr>
        <w:t>ci</w:t>
      </w:r>
      <w:r>
        <w:rPr>
          <w:rFonts w:cs="Arial"/>
          <w:b/>
        </w:rPr>
        <w:t>l i rà</w:t>
      </w:r>
      <w:r w:rsidRPr="00FF203D">
        <w:rPr>
          <w:rFonts w:cs="Arial"/>
          <w:b/>
        </w:rPr>
        <w:t xml:space="preserve">pid </w:t>
      </w:r>
      <w:r>
        <w:rPr>
          <w:rFonts w:cs="Arial"/>
          <w:b/>
        </w:rPr>
        <w:t>l’</w:t>
      </w:r>
      <w:r w:rsidRPr="00FF203D">
        <w:rPr>
          <w:rFonts w:cs="Arial"/>
          <w:b/>
        </w:rPr>
        <w:t>acc</w:t>
      </w:r>
      <w:r>
        <w:rPr>
          <w:rFonts w:cs="Arial"/>
          <w:b/>
        </w:rPr>
        <w:t>és</w:t>
      </w:r>
      <w:r w:rsidRPr="00FF203D">
        <w:rPr>
          <w:rFonts w:cs="Arial"/>
          <w:b/>
        </w:rPr>
        <w:t xml:space="preserve"> a la pàgina que conté la informació</w:t>
      </w:r>
      <w:r>
        <w:rPr>
          <w:rFonts w:cs="Arial"/>
          <w:b/>
        </w:rPr>
        <w:t xml:space="preserve">, </w:t>
      </w:r>
      <w:r w:rsidRPr="00063D24">
        <w:rPr>
          <w:rFonts w:cs="Arial"/>
        </w:rPr>
        <w:t>és a dir, el nombre de clics que cal fer per accedir-hi</w:t>
      </w:r>
      <w:r>
        <w:rPr>
          <w:rFonts w:cs="Arial"/>
        </w:rPr>
        <w:t xml:space="preserve">; si es disposa d’un </w:t>
      </w:r>
      <w:r w:rsidRPr="00FF203D">
        <w:rPr>
          <w:rFonts w:cs="Arial"/>
          <w:b/>
        </w:rPr>
        <w:t>cercador que permeti un accés</w:t>
      </w:r>
      <w:r>
        <w:rPr>
          <w:rFonts w:cs="Arial"/>
          <w:b/>
        </w:rPr>
        <w:t xml:space="preserve"> ràpid</w:t>
      </w:r>
      <w:r w:rsidRPr="00FF203D">
        <w:rPr>
          <w:rFonts w:cs="Arial"/>
          <w:b/>
        </w:rPr>
        <w:t xml:space="preserve"> a la informació</w:t>
      </w:r>
      <w:r>
        <w:rPr>
          <w:rFonts w:cs="Arial"/>
        </w:rPr>
        <w:t xml:space="preserve">; si es poden </w:t>
      </w:r>
      <w:r w:rsidRPr="00027EA8">
        <w:rPr>
          <w:rFonts w:cs="Arial"/>
          <w:b/>
        </w:rPr>
        <w:t>trobar les dades de manera intuïtiva</w:t>
      </w:r>
      <w:r>
        <w:rPr>
          <w:rFonts w:cs="Arial"/>
        </w:rPr>
        <w:t xml:space="preserve">; si la </w:t>
      </w:r>
      <w:r w:rsidRPr="00FF203D">
        <w:rPr>
          <w:rFonts w:cs="Arial"/>
          <w:b/>
        </w:rPr>
        <w:t>informació està estructurada i ordenada amb criteris temàtics i cronològics</w:t>
      </w:r>
      <w:r>
        <w:rPr>
          <w:rFonts w:cs="Arial"/>
        </w:rPr>
        <w:t xml:space="preserve"> perquè sigui fàcil, intuïtiva i ràpida de localitzar</w:t>
      </w:r>
      <w:r w:rsidRPr="008F0EF0">
        <w:rPr>
          <w:rFonts w:cs="Arial"/>
        </w:rPr>
        <w:t xml:space="preserve">. </w:t>
      </w:r>
    </w:p>
    <w:p w:rsidR="00D145B4" w:rsidRPr="009A3B65" w:rsidRDefault="00D145B4" w:rsidP="00CA551F">
      <w:pPr>
        <w:keepNext/>
        <w:keepLines/>
        <w:spacing w:before="120" w:after="120"/>
        <w:jc w:val="both"/>
        <w:rPr>
          <w:rFonts w:eastAsiaTheme="majorEastAsia" w:cs="Arial"/>
          <w:b/>
          <w:bCs/>
          <w:i/>
          <w:iCs/>
          <w:color w:val="4F81BD" w:themeColor="accent1"/>
        </w:rPr>
      </w:pPr>
      <w:bookmarkStart w:id="36" w:name="_Toc523759299"/>
      <w:r w:rsidRPr="009A3B65">
        <w:rPr>
          <w:rFonts w:eastAsiaTheme="majorEastAsia" w:cs="Arial"/>
          <w:b/>
          <w:bCs/>
          <w:i/>
          <w:iCs/>
          <w:color w:val="4F81BD" w:themeColor="accent1"/>
        </w:rPr>
        <w:t>3) Contingut de la informació (Contingut)</w:t>
      </w:r>
      <w:bookmarkEnd w:id="36"/>
    </w:p>
    <w:p w:rsidR="00453777" w:rsidRDefault="00453777" w:rsidP="0045377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bookmarkStart w:id="37" w:name="_Toc523759300"/>
      <w:r w:rsidRPr="008F0EF0">
        <w:rPr>
          <w:rFonts w:cs="Arial"/>
        </w:rPr>
        <w:t xml:space="preserve">Aquest </w:t>
      </w:r>
      <w:r>
        <w:rPr>
          <w:rFonts w:cs="Arial"/>
        </w:rPr>
        <w:t xml:space="preserve">indicador vol verificar: si </w:t>
      </w:r>
      <w:r w:rsidRPr="00FF203D">
        <w:rPr>
          <w:rFonts w:cs="Arial"/>
          <w:b/>
        </w:rPr>
        <w:t>el contingut dels enllaços de</w:t>
      </w:r>
      <w:r>
        <w:rPr>
          <w:rFonts w:cs="Arial"/>
          <w:b/>
        </w:rPr>
        <w:t xml:space="preserve"> l’</w:t>
      </w:r>
      <w:r w:rsidRPr="00FF203D">
        <w:rPr>
          <w:rFonts w:cs="Arial"/>
          <w:b/>
        </w:rPr>
        <w:t>epígraf</w:t>
      </w:r>
      <w:r>
        <w:rPr>
          <w:rFonts w:cs="Arial"/>
        </w:rPr>
        <w:t xml:space="preserve"> (és a dir, la pàgina on es troba la informació), </w:t>
      </w:r>
      <w:r w:rsidRPr="00FF203D">
        <w:rPr>
          <w:rFonts w:cs="Arial"/>
          <w:b/>
        </w:rPr>
        <w:t>conté la totalitat de la informació a la qual s’hauria d’accedir</w:t>
      </w:r>
      <w:r>
        <w:rPr>
          <w:rFonts w:cs="Arial"/>
        </w:rPr>
        <w:t>,</w:t>
      </w:r>
      <w:r w:rsidRPr="008F0EF0">
        <w:rPr>
          <w:rFonts w:cs="Arial"/>
        </w:rPr>
        <w:t xml:space="preserve"> d’acord amb les obligacions de publicitat activa </w:t>
      </w:r>
      <w:r>
        <w:rPr>
          <w:rFonts w:cs="Arial"/>
        </w:rPr>
        <w:t>establertes en</w:t>
      </w:r>
      <w:r w:rsidRPr="008F0EF0">
        <w:rPr>
          <w:rFonts w:cs="Arial"/>
        </w:rPr>
        <w:t xml:space="preserve"> la Llei i</w:t>
      </w:r>
      <w:r>
        <w:rPr>
          <w:rFonts w:cs="Arial"/>
        </w:rPr>
        <w:t xml:space="preserve"> els criteris aprovat</w:t>
      </w:r>
      <w:r w:rsidRPr="008F0EF0">
        <w:rPr>
          <w:rFonts w:cs="Arial"/>
        </w:rPr>
        <w:t>s per la</w:t>
      </w:r>
      <w:r>
        <w:rPr>
          <w:rFonts w:cs="Arial"/>
        </w:rPr>
        <w:t xml:space="preserve"> CITGO/</w:t>
      </w:r>
      <w:r w:rsidRPr="008F0EF0">
        <w:rPr>
          <w:rFonts w:cs="Arial"/>
        </w:rPr>
        <w:t>CITAI</w:t>
      </w:r>
      <w:r>
        <w:rPr>
          <w:rFonts w:cs="Arial"/>
        </w:rPr>
        <w:t xml:space="preserve">P; </w:t>
      </w:r>
      <w:r w:rsidRPr="00FF203D">
        <w:rPr>
          <w:rFonts w:cs="Arial"/>
          <w:b/>
        </w:rPr>
        <w:t>si aquesta és comprensible</w:t>
      </w:r>
      <w:r>
        <w:rPr>
          <w:rFonts w:cs="Arial"/>
          <w:b/>
        </w:rPr>
        <w:t xml:space="preserve"> </w:t>
      </w:r>
      <w:r w:rsidRPr="004956D7">
        <w:rPr>
          <w:rFonts w:cs="Arial"/>
        </w:rPr>
        <w:t>per a persones que no siguin expertes en la matèria;</w:t>
      </w:r>
      <w:r>
        <w:rPr>
          <w:rFonts w:cs="Arial"/>
        </w:rPr>
        <w:t xml:space="preserve"> si, en el </w:t>
      </w:r>
      <w:r w:rsidRPr="006B3C54">
        <w:rPr>
          <w:rFonts w:cs="Arial"/>
          <w:b/>
        </w:rPr>
        <w:t>cas que algun departament no</w:t>
      </w:r>
      <w:r>
        <w:rPr>
          <w:rFonts w:cs="Arial"/>
          <w:b/>
        </w:rPr>
        <w:t xml:space="preserve"> publiqui o</w:t>
      </w:r>
      <w:r w:rsidRPr="006B3C54">
        <w:rPr>
          <w:rFonts w:cs="Arial"/>
          <w:b/>
        </w:rPr>
        <w:t xml:space="preserve"> generi informació d’aquest tipus</w:t>
      </w:r>
      <w:r>
        <w:rPr>
          <w:rFonts w:cs="Arial"/>
        </w:rPr>
        <w:t xml:space="preserve">, </w:t>
      </w:r>
      <w:r w:rsidRPr="006B3C54">
        <w:rPr>
          <w:rFonts w:cs="Arial"/>
          <w:b/>
        </w:rPr>
        <w:t>es faci constar</w:t>
      </w:r>
      <w:r>
        <w:rPr>
          <w:rFonts w:cs="Arial"/>
        </w:rPr>
        <w:t xml:space="preserve"> expressament aquest extrem amb alguna fórmula (per exemple: el departament no genera aquesta informació; la informació està pendent/en fase d’elaboració; etc.)</w:t>
      </w:r>
      <w:r w:rsidRPr="00863E75">
        <w:rPr>
          <w:rFonts w:cs="Arial"/>
        </w:rPr>
        <w:t>.</w:t>
      </w:r>
    </w:p>
    <w:p w:rsidR="00D145B4" w:rsidRPr="009A3B65" w:rsidRDefault="00D145B4" w:rsidP="00CA551F">
      <w:pPr>
        <w:keepNext/>
        <w:keepLines/>
        <w:spacing w:before="120" w:after="120"/>
        <w:jc w:val="both"/>
        <w:rPr>
          <w:rFonts w:eastAsiaTheme="majorEastAsia" w:cs="Arial"/>
          <w:b/>
          <w:bCs/>
          <w:i/>
          <w:iCs/>
          <w:color w:val="4F81BD" w:themeColor="accent1"/>
        </w:rPr>
      </w:pPr>
      <w:r w:rsidRPr="009A3B65">
        <w:rPr>
          <w:rFonts w:eastAsiaTheme="majorEastAsia" w:cs="Arial"/>
          <w:b/>
          <w:bCs/>
          <w:i/>
          <w:iCs/>
          <w:color w:val="4F81BD" w:themeColor="accent1"/>
        </w:rPr>
        <w:t>4) Font, format</w:t>
      </w:r>
      <w:r w:rsidR="003870D1">
        <w:rPr>
          <w:rFonts w:eastAsiaTheme="majorEastAsia" w:cs="Arial"/>
          <w:b/>
          <w:bCs/>
          <w:i/>
          <w:iCs/>
          <w:color w:val="4F81BD" w:themeColor="accent1"/>
        </w:rPr>
        <w:t xml:space="preserve"> i</w:t>
      </w:r>
      <w:r w:rsidRPr="009A3B65">
        <w:rPr>
          <w:rFonts w:eastAsiaTheme="majorEastAsia" w:cs="Arial"/>
          <w:b/>
          <w:bCs/>
          <w:i/>
          <w:iCs/>
          <w:color w:val="4F81BD" w:themeColor="accent1"/>
        </w:rPr>
        <w:t xml:space="preserve"> actualització </w:t>
      </w:r>
      <w:r w:rsidR="003870D1">
        <w:rPr>
          <w:rFonts w:eastAsiaTheme="majorEastAsia" w:cs="Arial"/>
          <w:b/>
          <w:bCs/>
          <w:i/>
          <w:iCs/>
          <w:color w:val="4F81BD" w:themeColor="accent1"/>
        </w:rPr>
        <w:t>de la informació (Font, format i actualització</w:t>
      </w:r>
      <w:r w:rsidRPr="009A3B65">
        <w:rPr>
          <w:rFonts w:eastAsiaTheme="majorEastAsia" w:cs="Arial"/>
          <w:b/>
          <w:bCs/>
          <w:i/>
          <w:iCs/>
          <w:color w:val="4F81BD" w:themeColor="accent1"/>
        </w:rPr>
        <w:t>)</w:t>
      </w:r>
      <w:bookmarkEnd w:id="37"/>
    </w:p>
    <w:p w:rsidR="00453777" w:rsidRDefault="00453777" w:rsidP="0045377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r>
        <w:rPr>
          <w:rFonts w:cs="Arial"/>
        </w:rPr>
        <w:t xml:space="preserve">L’indicador </w:t>
      </w:r>
      <w:r w:rsidRPr="008F0EF0">
        <w:rPr>
          <w:rFonts w:cs="Arial"/>
        </w:rPr>
        <w:t xml:space="preserve">valora </w:t>
      </w:r>
      <w:r>
        <w:rPr>
          <w:rFonts w:cs="Arial"/>
        </w:rPr>
        <w:t>si la informació es mostra d’acord amb els paràmetres de</w:t>
      </w:r>
      <w:r w:rsidRPr="00F344A5">
        <w:rPr>
          <w:rFonts w:cs="Arial"/>
          <w:b/>
        </w:rPr>
        <w:t xml:space="preserve"> font, format i actualització de les dades</w:t>
      </w:r>
      <w:r>
        <w:rPr>
          <w:rFonts w:cs="Arial"/>
          <w:b/>
        </w:rPr>
        <w:t xml:space="preserve"> </w:t>
      </w:r>
      <w:r w:rsidRPr="00A27EBE">
        <w:rPr>
          <w:rFonts w:cs="Arial"/>
        </w:rPr>
        <w:t>indicades en l’apartat</w:t>
      </w:r>
      <w:r>
        <w:rPr>
          <w:rFonts w:cs="Arial"/>
          <w:b/>
        </w:rPr>
        <w:t xml:space="preserve"> Fitxa tècnica </w:t>
      </w:r>
      <w:r w:rsidRPr="004956D7">
        <w:rPr>
          <w:rFonts w:cs="Arial"/>
        </w:rPr>
        <w:t xml:space="preserve">de l’epígraf </w:t>
      </w:r>
      <w:r w:rsidRPr="00A27EBE">
        <w:rPr>
          <w:rFonts w:cs="Arial"/>
        </w:rPr>
        <w:t>del Portal</w:t>
      </w:r>
      <w:r>
        <w:rPr>
          <w:rFonts w:cs="Arial"/>
        </w:rPr>
        <w:t>, és a dir, si el format i la font són correctes, i si la informació està actualitzada en temps i termini.</w:t>
      </w:r>
      <w:r w:rsidRPr="00A27EBE">
        <w:rPr>
          <w:rFonts w:cs="Arial"/>
        </w:rPr>
        <w:t xml:space="preserve"> </w:t>
      </w:r>
      <w:r>
        <w:rPr>
          <w:rFonts w:cs="Arial"/>
        </w:rPr>
        <w:t xml:space="preserve">També es valora que es faci constar </w:t>
      </w:r>
      <w:r w:rsidRPr="00F344A5">
        <w:rPr>
          <w:rFonts w:cs="Arial"/>
          <w:b/>
        </w:rPr>
        <w:t>la data de l’última actualització</w:t>
      </w:r>
      <w:r>
        <w:rPr>
          <w:rFonts w:cs="Arial"/>
        </w:rPr>
        <w:t xml:space="preserve"> en la pàgina final on es troba la informació i, si s’escau, </w:t>
      </w:r>
      <w:r w:rsidRPr="00F344A5">
        <w:rPr>
          <w:rFonts w:cs="Arial"/>
          <w:b/>
        </w:rPr>
        <w:t>la data prevista de la propera actualització</w:t>
      </w:r>
      <w:r>
        <w:rPr>
          <w:rFonts w:cs="Arial"/>
        </w:rPr>
        <w:t>.</w:t>
      </w:r>
    </w:p>
    <w:p w:rsidR="00D145B4" w:rsidRPr="009A3B65" w:rsidRDefault="007C16A7" w:rsidP="00453777">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cs="Arial"/>
        </w:rPr>
      </w:pPr>
      <w:r>
        <w:rPr>
          <w:rFonts w:cs="Arial"/>
        </w:rPr>
        <w:t xml:space="preserve">Així </w:t>
      </w:r>
      <w:r w:rsidR="00453777">
        <w:rPr>
          <w:rFonts w:cs="Arial"/>
        </w:rPr>
        <w:t xml:space="preserve">mateix, es valora </w:t>
      </w:r>
      <w:r w:rsidR="00453777" w:rsidRPr="00F344A5">
        <w:rPr>
          <w:rFonts w:cs="Arial"/>
          <w:b/>
        </w:rPr>
        <w:t>si el format de les dades és reutilitzable</w:t>
      </w:r>
      <w:r w:rsidR="00453777">
        <w:rPr>
          <w:rFonts w:cs="Arial"/>
          <w:b/>
        </w:rPr>
        <w:t xml:space="preserve">, sempre que això sigui possible per raó de la informació, </w:t>
      </w:r>
      <w:r w:rsidR="00453777" w:rsidRPr="00FC2894">
        <w:rPr>
          <w:rFonts w:cs="Arial"/>
        </w:rPr>
        <w:t>a excepció que per la naturalesa de la informació no ho pugui ser</w:t>
      </w:r>
      <w:r w:rsidR="00453777">
        <w:rPr>
          <w:rFonts w:cs="Arial"/>
        </w:rPr>
        <w:t>.</w:t>
      </w:r>
    </w:p>
    <w:p w:rsidR="005226BB" w:rsidRPr="009A3B65" w:rsidRDefault="005226BB" w:rsidP="00CA551F">
      <w:pPr>
        <w:spacing w:before="120" w:after="120"/>
        <w:jc w:val="both"/>
        <w:rPr>
          <w:rFonts w:cs="Arial"/>
        </w:rPr>
      </w:pPr>
    </w:p>
    <w:p w:rsidR="005226BB" w:rsidRPr="009A3B65" w:rsidRDefault="004337B0" w:rsidP="00CA551F">
      <w:pPr>
        <w:pStyle w:val="Ttol2"/>
        <w:spacing w:before="120" w:after="120" w:line="240" w:lineRule="auto"/>
        <w:jc w:val="both"/>
        <w:rPr>
          <w:rFonts w:ascii="Arial" w:hAnsi="Arial" w:cs="Arial"/>
        </w:rPr>
      </w:pPr>
      <w:bookmarkStart w:id="38" w:name="_Toc14780371"/>
      <w:r>
        <w:rPr>
          <w:rFonts w:ascii="Arial" w:hAnsi="Arial" w:cs="Arial"/>
        </w:rPr>
        <w:t>4</w:t>
      </w:r>
      <w:r w:rsidR="005226BB" w:rsidRPr="009A3B65">
        <w:rPr>
          <w:rFonts w:ascii="Arial" w:hAnsi="Arial" w:cs="Arial"/>
        </w:rPr>
        <w:t>.3 Ponderació dels indicadors d’avaluació</w:t>
      </w:r>
      <w:bookmarkEnd w:id="38"/>
    </w:p>
    <w:p w:rsidR="005226BB" w:rsidRPr="009A3B65" w:rsidRDefault="005226BB" w:rsidP="00CA551F">
      <w:pPr>
        <w:spacing w:before="120" w:after="120"/>
        <w:jc w:val="both"/>
        <w:rPr>
          <w:rFonts w:cs="Arial"/>
        </w:rPr>
      </w:pPr>
      <w:r w:rsidRPr="009A3B65">
        <w:rPr>
          <w:rFonts w:cs="Arial"/>
        </w:rPr>
        <w:t xml:space="preserve">No tots els indicadors </w:t>
      </w:r>
      <w:r w:rsidR="008A4269">
        <w:rPr>
          <w:rFonts w:cs="Arial"/>
        </w:rPr>
        <w:t>es valoren per igual</w:t>
      </w:r>
      <w:r w:rsidRPr="009A3B65">
        <w:rPr>
          <w:rFonts w:cs="Arial"/>
        </w:rPr>
        <w:t>. Per aquest motiu s’ha formulat un sistema de ponderació que assigna una puntuació diferent d’acord amb la importància de l’indicador.</w:t>
      </w:r>
    </w:p>
    <w:p w:rsidR="005226BB" w:rsidRDefault="005226BB" w:rsidP="00CA551F">
      <w:pPr>
        <w:spacing w:before="120" w:after="120"/>
        <w:jc w:val="both"/>
        <w:rPr>
          <w:rFonts w:cs="Arial"/>
        </w:rPr>
      </w:pPr>
      <w:r w:rsidRPr="009A3B65">
        <w:rPr>
          <w:rFonts w:cs="Arial"/>
        </w:rPr>
        <w:t>En la taula següent queden recollits els indicadors definits anteriorment, amb els seus valors possibles, la puntuació de cada</w:t>
      </w:r>
      <w:r w:rsidR="005A7B71">
        <w:rPr>
          <w:rFonts w:cs="Arial"/>
        </w:rPr>
        <w:t>scun i llur puntuació ponderada.</w:t>
      </w:r>
    </w:p>
    <w:p w:rsidR="005A7B71" w:rsidRDefault="005A7B71" w:rsidP="00CA551F">
      <w:pPr>
        <w:spacing w:before="120" w:after="120"/>
        <w:jc w:val="both"/>
        <w:rPr>
          <w:rFonts w:cs="Arial"/>
        </w:rPr>
      </w:pPr>
    </w:p>
    <w:p w:rsidR="005A7B71" w:rsidRPr="0029568D" w:rsidRDefault="005A7B71" w:rsidP="00CA551F">
      <w:pPr>
        <w:spacing w:before="120" w:after="120"/>
        <w:jc w:val="both"/>
        <w:rPr>
          <w:rFonts w:cs="Arial"/>
          <w:b/>
        </w:rPr>
      </w:pPr>
      <w:r w:rsidRPr="0029568D">
        <w:rPr>
          <w:rFonts w:cs="Arial"/>
          <w:b/>
        </w:rPr>
        <w:t xml:space="preserve">Taula 2. </w:t>
      </w:r>
      <w:r w:rsidR="0029568D" w:rsidRPr="0029568D">
        <w:rPr>
          <w:rFonts w:cs="Arial"/>
          <w:b/>
        </w:rPr>
        <w:t>Indicadors d’avaluació</w:t>
      </w:r>
    </w:p>
    <w:tbl>
      <w:tblPr>
        <w:tblStyle w:val="Taulaambquadrcula5fosca-mfasi11"/>
        <w:tblW w:w="9039" w:type="dxa"/>
        <w:jc w:val="center"/>
        <w:tblLook w:val="04A0" w:firstRow="1" w:lastRow="0" w:firstColumn="1" w:lastColumn="0" w:noHBand="0" w:noVBand="1"/>
      </w:tblPr>
      <w:tblGrid>
        <w:gridCol w:w="2376"/>
        <w:gridCol w:w="2127"/>
        <w:gridCol w:w="2241"/>
        <w:gridCol w:w="2295"/>
      </w:tblGrid>
      <w:tr w:rsidR="005226BB" w:rsidRPr="009A3B65" w:rsidTr="00711C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bottom w:val="single" w:sz="18" w:space="0" w:color="FFFFFF" w:themeColor="background1"/>
              <w:right w:val="single" w:sz="18" w:space="0" w:color="FFFFFF" w:themeColor="background1"/>
            </w:tcBorders>
            <w:shd w:val="clear" w:color="auto" w:fill="984806" w:themeFill="accent6" w:themeFillShade="80"/>
          </w:tcPr>
          <w:p w:rsidR="005226BB" w:rsidRPr="009A3B65" w:rsidRDefault="005226BB" w:rsidP="004D0060">
            <w:pPr>
              <w:jc w:val="both"/>
              <w:rPr>
                <w:rFonts w:cs="Arial"/>
                <w:sz w:val="16"/>
                <w:szCs w:val="16"/>
              </w:rPr>
            </w:pPr>
            <w:r w:rsidRPr="009A3B65">
              <w:rPr>
                <w:rFonts w:cs="Arial"/>
                <w:sz w:val="16"/>
                <w:szCs w:val="16"/>
              </w:rPr>
              <w:t>Indicador (puntuació màxima)</w:t>
            </w: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984806" w:themeFill="accent6" w:themeFillShade="80"/>
          </w:tcPr>
          <w:p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Valors possibles</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984806" w:themeFill="accent6" w:themeFillShade="80"/>
          </w:tcPr>
          <w:p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Puntuació de cada valor (en %)</w:t>
            </w:r>
          </w:p>
        </w:tc>
        <w:tc>
          <w:tcPr>
            <w:tcW w:w="2295" w:type="dxa"/>
            <w:tcBorders>
              <w:left w:val="single" w:sz="12" w:space="0" w:color="FFFFFF" w:themeColor="background1"/>
              <w:bottom w:val="single" w:sz="18" w:space="0" w:color="FFFFFF" w:themeColor="background1"/>
            </w:tcBorders>
            <w:shd w:val="clear" w:color="auto" w:fill="984806" w:themeFill="accent6" w:themeFillShade="80"/>
          </w:tcPr>
          <w:p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 xml:space="preserve">Puntuació de cada valor ponderada </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r w:rsidRPr="009A3B65">
              <w:rPr>
                <w:rFonts w:cs="Arial"/>
                <w:b w:val="0"/>
                <w:sz w:val="16"/>
                <w:szCs w:val="16"/>
              </w:rPr>
              <w:t>1. Presentació (20)</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20</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10</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r w:rsidRPr="009A3B65">
              <w:rPr>
                <w:rFonts w:cs="Arial"/>
                <w:b w:val="0"/>
                <w:sz w:val="16"/>
                <w:szCs w:val="16"/>
              </w:rPr>
              <w:t>2. Accessibilitat (20)</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20</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10</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r w:rsidRPr="009A3B65">
              <w:rPr>
                <w:rFonts w:cs="Arial"/>
                <w:b w:val="0"/>
                <w:sz w:val="16"/>
                <w:szCs w:val="16"/>
              </w:rPr>
              <w:t>3. Contingut (35)</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35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26,25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17,5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8,75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r w:rsidRPr="009A3B65">
              <w:rPr>
                <w:rFonts w:cs="Arial"/>
                <w:b w:val="0"/>
                <w:sz w:val="16"/>
                <w:szCs w:val="16"/>
              </w:rPr>
              <w:t>4. Font,  format</w:t>
            </w:r>
            <w:r w:rsidR="00181F28" w:rsidRPr="009A3B65">
              <w:rPr>
                <w:rFonts w:cs="Arial"/>
                <w:b w:val="0"/>
                <w:sz w:val="16"/>
                <w:szCs w:val="16"/>
              </w:rPr>
              <w:t xml:space="preserve"> i</w:t>
            </w:r>
            <w:r w:rsidR="00E90484" w:rsidRPr="009A3B65">
              <w:rPr>
                <w:rFonts w:cs="Arial"/>
                <w:b w:val="0"/>
                <w:sz w:val="16"/>
                <w:szCs w:val="16"/>
              </w:rPr>
              <w:t xml:space="preserve"> actualització </w:t>
            </w:r>
            <w:r w:rsidRPr="009A3B65">
              <w:rPr>
                <w:rFonts w:cs="Arial"/>
                <w:b w:val="0"/>
                <w:sz w:val="16"/>
                <w:szCs w:val="16"/>
              </w:rPr>
              <w:t>(25)</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18,75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12,5</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6,25</w:t>
            </w:r>
          </w:p>
        </w:tc>
      </w:tr>
      <w:tr w:rsidR="005226BB" w:rsidRPr="009A3B65"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39" w:type="dxa"/>
            <w:gridSpan w:val="4"/>
            <w:shd w:val="clear" w:color="auto" w:fill="984806" w:themeFill="accent6" w:themeFillShade="80"/>
            <w:vAlign w:val="center"/>
          </w:tcPr>
          <w:p w:rsidR="005226BB" w:rsidRPr="009A3B65" w:rsidRDefault="005226BB" w:rsidP="004D0060">
            <w:pPr>
              <w:jc w:val="both"/>
              <w:rPr>
                <w:rFonts w:cs="Arial"/>
                <w:sz w:val="16"/>
                <w:szCs w:val="16"/>
              </w:rPr>
            </w:pPr>
            <w:r w:rsidRPr="009A3B65">
              <w:rPr>
                <w:rFonts w:cs="Arial"/>
                <w:sz w:val="16"/>
                <w:szCs w:val="16"/>
              </w:rPr>
              <w:t>Puntuació Total = 100</w:t>
            </w:r>
          </w:p>
        </w:tc>
      </w:tr>
    </w:tbl>
    <w:p w:rsidR="00A701B7" w:rsidRPr="009A3B65" w:rsidRDefault="00A701B7" w:rsidP="00CA551F">
      <w:pPr>
        <w:pStyle w:val="Ttol2"/>
        <w:spacing w:before="120" w:after="120" w:line="240" w:lineRule="auto"/>
        <w:jc w:val="both"/>
        <w:rPr>
          <w:rFonts w:ascii="Arial" w:hAnsi="Arial" w:cs="Arial"/>
        </w:rPr>
      </w:pPr>
      <w:bookmarkStart w:id="39" w:name="_Toc442864030"/>
    </w:p>
    <w:p w:rsidR="00775613" w:rsidRPr="009A3B65" w:rsidRDefault="004337B0" w:rsidP="00CA551F">
      <w:pPr>
        <w:pStyle w:val="Ttol2"/>
        <w:spacing w:before="120" w:after="120" w:line="240" w:lineRule="auto"/>
        <w:jc w:val="both"/>
        <w:rPr>
          <w:rFonts w:ascii="Arial" w:hAnsi="Arial" w:cs="Arial"/>
        </w:rPr>
      </w:pPr>
      <w:bookmarkStart w:id="40" w:name="_Toc14780372"/>
      <w:r>
        <w:rPr>
          <w:rFonts w:ascii="Arial" w:hAnsi="Arial" w:cs="Arial"/>
        </w:rPr>
        <w:t>4</w:t>
      </w:r>
      <w:r w:rsidR="00E62A2A">
        <w:rPr>
          <w:rFonts w:ascii="Arial" w:hAnsi="Arial" w:cs="Arial"/>
        </w:rPr>
        <w:t>.4</w:t>
      </w:r>
      <w:r w:rsidR="00775613" w:rsidRPr="009A3B65">
        <w:rPr>
          <w:rFonts w:ascii="Arial" w:hAnsi="Arial" w:cs="Arial"/>
        </w:rPr>
        <w:t xml:space="preserve"> Execució de l</w:t>
      </w:r>
      <w:bookmarkEnd w:id="39"/>
      <w:r w:rsidR="0004029C">
        <w:rPr>
          <w:rFonts w:ascii="Arial" w:hAnsi="Arial" w:cs="Arial"/>
        </w:rPr>
        <w:t>’avaluació</w:t>
      </w:r>
      <w:bookmarkEnd w:id="40"/>
    </w:p>
    <w:p w:rsidR="006C6C75" w:rsidRPr="009A3B65" w:rsidRDefault="0004029C" w:rsidP="00CA551F">
      <w:pPr>
        <w:spacing w:before="120" w:after="120"/>
        <w:jc w:val="both"/>
        <w:rPr>
          <w:rFonts w:cs="Arial"/>
        </w:rPr>
      </w:pPr>
      <w:r>
        <w:rPr>
          <w:rFonts w:cs="Arial"/>
        </w:rPr>
        <w:t>L’avaluació</w:t>
      </w:r>
      <w:r w:rsidR="00775613" w:rsidRPr="009A3B65">
        <w:rPr>
          <w:rFonts w:cs="Arial"/>
        </w:rPr>
        <w:t xml:space="preserve"> es </w:t>
      </w:r>
      <w:r>
        <w:rPr>
          <w:rFonts w:cs="Arial"/>
        </w:rPr>
        <w:t>fa mitjançant</w:t>
      </w:r>
      <w:r w:rsidR="00775613" w:rsidRPr="009A3B65">
        <w:rPr>
          <w:rFonts w:cs="Arial"/>
        </w:rPr>
        <w:t xml:space="preserve"> </w:t>
      </w:r>
      <w:r w:rsidR="00A701B7" w:rsidRPr="009A3B65">
        <w:rPr>
          <w:rFonts w:cs="Arial"/>
        </w:rPr>
        <w:t>un</w:t>
      </w:r>
      <w:r w:rsidR="00775613" w:rsidRPr="009A3B65">
        <w:rPr>
          <w:rFonts w:cs="Arial"/>
        </w:rPr>
        <w:t xml:space="preserve"> </w:t>
      </w:r>
      <w:r w:rsidR="007E4BD2">
        <w:rPr>
          <w:rFonts w:cs="Arial"/>
        </w:rPr>
        <w:t>qüestionari</w:t>
      </w:r>
      <w:r w:rsidR="00775613" w:rsidRPr="009A3B65">
        <w:rPr>
          <w:rFonts w:cs="Arial"/>
        </w:rPr>
        <w:t xml:space="preserve"> </w:t>
      </w:r>
      <w:r w:rsidR="002B4D19">
        <w:rPr>
          <w:rFonts w:cs="Arial"/>
        </w:rPr>
        <w:t>tabular</w:t>
      </w:r>
      <w:r w:rsidR="006C6C75" w:rsidRPr="009A3B65">
        <w:rPr>
          <w:rFonts w:cs="Arial"/>
        </w:rPr>
        <w:t xml:space="preserve">, en el qual es fa constar: </w:t>
      </w:r>
    </w:p>
    <w:p w:rsidR="006C6C75" w:rsidRPr="009A3B65" w:rsidRDefault="006C6C75" w:rsidP="00CA551F">
      <w:pPr>
        <w:spacing w:before="120" w:after="120"/>
        <w:jc w:val="both"/>
        <w:rPr>
          <w:rFonts w:cs="Arial"/>
        </w:rPr>
      </w:pPr>
      <w:r w:rsidRPr="009A3B65">
        <w:rPr>
          <w:rFonts w:cs="Arial"/>
        </w:rPr>
        <w:t xml:space="preserve">- </w:t>
      </w:r>
      <w:r w:rsidR="009F32B3">
        <w:rPr>
          <w:rFonts w:cs="Arial"/>
        </w:rPr>
        <w:t xml:space="preserve">En les files: </w:t>
      </w:r>
      <w:r w:rsidR="00F34C7D">
        <w:rPr>
          <w:rFonts w:cs="Arial"/>
          <w:b/>
        </w:rPr>
        <w:t>La informació subjecta a publicitat activa</w:t>
      </w:r>
      <w:r w:rsidRPr="009A3B65">
        <w:rPr>
          <w:rFonts w:cs="Arial"/>
        </w:rPr>
        <w:t>, és a dir, els apartats, subapartats i epígrafs del Portal de la transparència.</w:t>
      </w:r>
    </w:p>
    <w:p w:rsidR="00B70D71" w:rsidRPr="009A3B65" w:rsidRDefault="006C6C75" w:rsidP="00CA551F">
      <w:pPr>
        <w:spacing w:before="120" w:after="120"/>
        <w:jc w:val="both"/>
        <w:rPr>
          <w:rFonts w:cs="Arial"/>
        </w:rPr>
      </w:pPr>
      <w:r w:rsidRPr="009A3B65">
        <w:rPr>
          <w:rFonts w:cs="Arial"/>
        </w:rPr>
        <w:t xml:space="preserve">- </w:t>
      </w:r>
      <w:r w:rsidR="009F32B3">
        <w:rPr>
          <w:rFonts w:cs="Arial"/>
        </w:rPr>
        <w:t>En les columnes: Els</w:t>
      </w:r>
      <w:r w:rsidRPr="009A3B65">
        <w:rPr>
          <w:rFonts w:cs="Arial"/>
        </w:rPr>
        <w:t xml:space="preserve"> departaments </w:t>
      </w:r>
      <w:r w:rsidRPr="009A3B65">
        <w:rPr>
          <w:rFonts w:cs="Arial"/>
          <w:b/>
        </w:rPr>
        <w:t>responsables de la informació</w:t>
      </w:r>
      <w:r w:rsidR="00A93B12" w:rsidRPr="009A3B65">
        <w:rPr>
          <w:rFonts w:cs="Arial"/>
        </w:rPr>
        <w:t>;</w:t>
      </w:r>
      <w:r w:rsidR="00F34C7D">
        <w:rPr>
          <w:rFonts w:cs="Arial"/>
        </w:rPr>
        <w:t xml:space="preserve"> les</w:t>
      </w:r>
      <w:r w:rsidRPr="009A3B65">
        <w:rPr>
          <w:rFonts w:cs="Arial"/>
        </w:rPr>
        <w:t xml:space="preserve"> </w:t>
      </w:r>
      <w:r w:rsidRPr="009F32B3">
        <w:rPr>
          <w:rFonts w:cs="Arial"/>
          <w:b/>
        </w:rPr>
        <w:t>referènci</w:t>
      </w:r>
      <w:r w:rsidR="00F34C7D" w:rsidRPr="009F32B3">
        <w:rPr>
          <w:rFonts w:cs="Arial"/>
          <w:b/>
        </w:rPr>
        <w:t>es</w:t>
      </w:r>
      <w:r w:rsidRPr="009F32B3">
        <w:rPr>
          <w:rFonts w:cs="Arial"/>
          <w:b/>
        </w:rPr>
        <w:t xml:space="preserve"> normativ</w:t>
      </w:r>
      <w:r w:rsidR="00F34C7D" w:rsidRPr="009F32B3">
        <w:rPr>
          <w:rFonts w:cs="Arial"/>
          <w:b/>
        </w:rPr>
        <w:t xml:space="preserve">es </w:t>
      </w:r>
      <w:r w:rsidR="007E4BD2">
        <w:rPr>
          <w:rFonts w:cs="Arial"/>
          <w:b/>
        </w:rPr>
        <w:t>o d’altra índole</w:t>
      </w:r>
      <w:r w:rsidR="0004029C">
        <w:rPr>
          <w:rFonts w:cs="Arial"/>
          <w:b/>
        </w:rPr>
        <w:t xml:space="preserve">, </w:t>
      </w:r>
      <w:r w:rsidR="0004029C" w:rsidRPr="0004029C">
        <w:rPr>
          <w:rFonts w:cs="Arial"/>
        </w:rPr>
        <w:t>així com</w:t>
      </w:r>
      <w:r w:rsidRPr="009A3B65">
        <w:rPr>
          <w:rFonts w:cs="Arial"/>
        </w:rPr>
        <w:t xml:space="preserve"> </w:t>
      </w:r>
      <w:r w:rsidR="00F34C7D">
        <w:rPr>
          <w:rFonts w:cs="Arial"/>
        </w:rPr>
        <w:t>e</w:t>
      </w:r>
      <w:r w:rsidRPr="009A3B65">
        <w:rPr>
          <w:rFonts w:cs="Arial"/>
        </w:rPr>
        <w:t xml:space="preserve">ls </w:t>
      </w:r>
      <w:r w:rsidRPr="009A3B65">
        <w:rPr>
          <w:rFonts w:cs="Arial"/>
          <w:b/>
        </w:rPr>
        <w:t>criteris</w:t>
      </w:r>
      <w:r w:rsidR="007E4BD2">
        <w:rPr>
          <w:rFonts w:cs="Arial"/>
          <w:b/>
        </w:rPr>
        <w:t xml:space="preserve"> vigents</w:t>
      </w:r>
      <w:r w:rsidRPr="009A3B65">
        <w:rPr>
          <w:rFonts w:cs="Arial"/>
          <w:b/>
        </w:rPr>
        <w:t xml:space="preserve"> aprovats</w:t>
      </w:r>
      <w:r w:rsidR="00A93B12" w:rsidRPr="009A3B65">
        <w:rPr>
          <w:rFonts w:cs="Arial"/>
        </w:rPr>
        <w:t>;</w:t>
      </w:r>
      <w:r w:rsidRPr="009A3B65">
        <w:rPr>
          <w:rFonts w:cs="Arial"/>
        </w:rPr>
        <w:t xml:space="preserve"> </w:t>
      </w:r>
      <w:r w:rsidRPr="009A3B65">
        <w:rPr>
          <w:rFonts w:cs="Arial"/>
          <w:b/>
        </w:rPr>
        <w:t>els indicadors</w:t>
      </w:r>
      <w:r w:rsidR="007E4BD2">
        <w:rPr>
          <w:rFonts w:cs="Arial"/>
          <w:b/>
        </w:rPr>
        <w:t xml:space="preserve"> d’avaluació</w:t>
      </w:r>
      <w:r w:rsidR="009F32B3">
        <w:rPr>
          <w:rFonts w:cs="Arial"/>
        </w:rPr>
        <w:t>;</w:t>
      </w:r>
      <w:r w:rsidR="007E4BD2">
        <w:rPr>
          <w:rFonts w:cs="Arial"/>
        </w:rPr>
        <w:t xml:space="preserve"> i</w:t>
      </w:r>
      <w:r w:rsidR="009F32B3">
        <w:rPr>
          <w:rFonts w:cs="Arial"/>
        </w:rPr>
        <w:t xml:space="preserve"> les </w:t>
      </w:r>
      <w:r w:rsidR="009F32B3" w:rsidRPr="007E4BD2">
        <w:rPr>
          <w:rFonts w:cs="Arial"/>
          <w:b/>
        </w:rPr>
        <w:t>observacions</w:t>
      </w:r>
      <w:r w:rsidR="0004029C">
        <w:rPr>
          <w:rFonts w:cs="Arial"/>
          <w:b/>
        </w:rPr>
        <w:t xml:space="preserve"> </w:t>
      </w:r>
      <w:r w:rsidR="0004029C">
        <w:rPr>
          <w:rFonts w:cs="Arial"/>
        </w:rPr>
        <w:t>que es vulguin indicar</w:t>
      </w:r>
      <w:r w:rsidR="00A93B12" w:rsidRPr="009A3B65">
        <w:rPr>
          <w:rFonts w:cs="Arial"/>
        </w:rPr>
        <w:t>.</w:t>
      </w:r>
    </w:p>
    <w:p w:rsidR="00680AB0" w:rsidRDefault="006C6C75" w:rsidP="00680AB0">
      <w:pPr>
        <w:spacing w:before="120" w:after="120"/>
        <w:jc w:val="both"/>
        <w:rPr>
          <w:rFonts w:cs="Arial"/>
        </w:rPr>
      </w:pPr>
      <w:r w:rsidRPr="009A3B65">
        <w:rPr>
          <w:rFonts w:cs="Arial"/>
        </w:rPr>
        <w:t>Un cop emplenat el qüestionari</w:t>
      </w:r>
      <w:r w:rsidR="007E4BD2">
        <w:rPr>
          <w:rFonts w:cs="Arial"/>
        </w:rPr>
        <w:t xml:space="preserve"> amb les valoracions </w:t>
      </w:r>
      <w:r w:rsidR="00BE1692">
        <w:rPr>
          <w:rFonts w:cs="Arial"/>
        </w:rPr>
        <w:t>corresponents</w:t>
      </w:r>
      <w:r w:rsidRPr="009A3B65">
        <w:rPr>
          <w:rFonts w:cs="Arial"/>
        </w:rPr>
        <w:t xml:space="preserve">, </w:t>
      </w:r>
      <w:r w:rsidR="00A93B12" w:rsidRPr="009A3B65">
        <w:rPr>
          <w:rFonts w:cs="Arial"/>
        </w:rPr>
        <w:t>es mostra</w:t>
      </w:r>
      <w:r w:rsidRPr="009A3B65">
        <w:rPr>
          <w:rFonts w:cs="Arial"/>
        </w:rPr>
        <w:t xml:space="preserve"> la puntuació final </w:t>
      </w:r>
      <w:r w:rsidR="009F32B3">
        <w:rPr>
          <w:rFonts w:cs="Arial"/>
        </w:rPr>
        <w:t>global</w:t>
      </w:r>
      <w:r w:rsidR="007E4BD2">
        <w:rPr>
          <w:rFonts w:cs="Arial"/>
        </w:rPr>
        <w:t xml:space="preserve"> de l’avaluació</w:t>
      </w:r>
      <w:r w:rsidR="009F32B3">
        <w:rPr>
          <w:rFonts w:cs="Arial"/>
        </w:rPr>
        <w:t xml:space="preserve">, </w:t>
      </w:r>
      <w:r w:rsidR="007E4BD2">
        <w:rPr>
          <w:rFonts w:cs="Arial"/>
        </w:rPr>
        <w:t>a</w:t>
      </w:r>
      <w:r w:rsidR="009F32B3">
        <w:rPr>
          <w:rFonts w:cs="Arial"/>
        </w:rPr>
        <w:t>i</w:t>
      </w:r>
      <w:r w:rsidR="007E4BD2">
        <w:rPr>
          <w:rFonts w:cs="Arial"/>
        </w:rPr>
        <w:t>xí com</w:t>
      </w:r>
      <w:r w:rsidR="009F32B3">
        <w:rPr>
          <w:rFonts w:cs="Arial"/>
        </w:rPr>
        <w:t xml:space="preserve"> </w:t>
      </w:r>
      <w:r w:rsidR="007E4BD2">
        <w:rPr>
          <w:rFonts w:cs="Arial"/>
        </w:rPr>
        <w:t>les</w:t>
      </w:r>
      <w:r w:rsidR="008E69CA">
        <w:rPr>
          <w:rFonts w:cs="Arial"/>
        </w:rPr>
        <w:t xml:space="preserve"> puntuaci</w:t>
      </w:r>
      <w:r w:rsidR="007E4BD2">
        <w:rPr>
          <w:rFonts w:cs="Arial"/>
        </w:rPr>
        <w:t>ons parcials</w:t>
      </w:r>
      <w:r w:rsidRPr="009A3B65">
        <w:rPr>
          <w:rFonts w:cs="Arial"/>
        </w:rPr>
        <w:t xml:space="preserve"> per </w:t>
      </w:r>
      <w:r w:rsidR="009F32B3">
        <w:rPr>
          <w:rFonts w:cs="Arial"/>
        </w:rPr>
        <w:t>apartats, subapartats</w:t>
      </w:r>
      <w:r w:rsidR="007E4BD2">
        <w:rPr>
          <w:rFonts w:cs="Arial"/>
        </w:rPr>
        <w:t>,</w:t>
      </w:r>
      <w:r w:rsidR="009F32B3">
        <w:rPr>
          <w:rFonts w:cs="Arial"/>
        </w:rPr>
        <w:t xml:space="preserve"> </w:t>
      </w:r>
      <w:r w:rsidRPr="009A3B65">
        <w:rPr>
          <w:rFonts w:cs="Arial"/>
        </w:rPr>
        <w:t xml:space="preserve">epígrafs </w:t>
      </w:r>
      <w:r w:rsidR="008E69CA">
        <w:rPr>
          <w:rFonts w:cs="Arial"/>
        </w:rPr>
        <w:t>i</w:t>
      </w:r>
      <w:r w:rsidRPr="009A3B65">
        <w:rPr>
          <w:rFonts w:cs="Arial"/>
        </w:rPr>
        <w:t xml:space="preserve"> </w:t>
      </w:r>
      <w:r w:rsidR="009F32B3">
        <w:rPr>
          <w:rFonts w:cs="Arial"/>
        </w:rPr>
        <w:t>indicadors</w:t>
      </w:r>
      <w:r w:rsidR="00AE44A7">
        <w:rPr>
          <w:rStyle w:val="Refernciadenotaapeudepgina"/>
          <w:rFonts w:cs="Arial"/>
        </w:rPr>
        <w:footnoteReference w:id="9"/>
      </w:r>
      <w:r w:rsidRPr="009A3B65">
        <w:rPr>
          <w:rFonts w:cs="Arial"/>
        </w:rPr>
        <w:t>.</w:t>
      </w:r>
    </w:p>
    <w:p w:rsidR="00BE290C" w:rsidRDefault="00C92062" w:rsidP="00C92062">
      <w:pPr>
        <w:spacing w:before="120" w:after="120"/>
        <w:jc w:val="both"/>
        <w:rPr>
          <w:rFonts w:cs="Arial"/>
        </w:rPr>
      </w:pPr>
      <w:r>
        <w:rPr>
          <w:rFonts w:cs="Arial"/>
        </w:rPr>
        <w:t>L</w:t>
      </w:r>
      <w:r w:rsidRPr="009A3B65">
        <w:rPr>
          <w:rFonts w:cs="Arial"/>
        </w:rPr>
        <w:t>’</w:t>
      </w:r>
      <w:r>
        <w:rPr>
          <w:rFonts w:cs="Arial"/>
        </w:rPr>
        <w:t>execució de l’</w:t>
      </w:r>
      <w:r w:rsidRPr="009A3B65">
        <w:rPr>
          <w:rFonts w:cs="Arial"/>
        </w:rPr>
        <w:t xml:space="preserve">avaluació ha abastat un període aproximat de </w:t>
      </w:r>
      <w:r>
        <w:rPr>
          <w:rFonts w:cs="Arial"/>
        </w:rPr>
        <w:t>tres</w:t>
      </w:r>
      <w:r w:rsidRPr="009A3B65">
        <w:rPr>
          <w:rFonts w:cs="Arial"/>
        </w:rPr>
        <w:t xml:space="preserve"> mesos, </w:t>
      </w:r>
      <w:r>
        <w:rPr>
          <w:rFonts w:cs="Arial"/>
        </w:rPr>
        <w:t>de maig a juliol</w:t>
      </w:r>
      <w:r w:rsidRPr="009A3B65">
        <w:rPr>
          <w:rFonts w:cs="Arial"/>
        </w:rPr>
        <w:t>.</w:t>
      </w:r>
      <w:r>
        <w:rPr>
          <w:rFonts w:cs="Arial"/>
        </w:rPr>
        <w:t xml:space="preserve"> Anteriorment, cap al febrer/març, es va fer-ne la planificació.</w:t>
      </w:r>
      <w:r w:rsidRPr="009A3B65">
        <w:rPr>
          <w:rFonts w:cs="Arial"/>
        </w:rPr>
        <w:t xml:space="preserve"> </w:t>
      </w:r>
      <w:r>
        <w:rPr>
          <w:rFonts w:cs="Arial"/>
        </w:rPr>
        <w:t>Com s’ha mencionat a l’inici, l’</w:t>
      </w:r>
      <w:r w:rsidRPr="009A3B65">
        <w:rPr>
          <w:rFonts w:cs="Arial"/>
        </w:rPr>
        <w:t>avaluació</w:t>
      </w:r>
      <w:r>
        <w:rPr>
          <w:rFonts w:cs="Arial"/>
        </w:rPr>
        <w:t xml:space="preserve"> ha consistit en una autoavaluació</w:t>
      </w:r>
      <w:r w:rsidRPr="009A3B65">
        <w:rPr>
          <w:rFonts w:cs="Arial"/>
        </w:rPr>
        <w:t xml:space="preserve"> inicial</w:t>
      </w:r>
      <w:r>
        <w:rPr>
          <w:rFonts w:cs="Arial"/>
        </w:rPr>
        <w:t xml:space="preserve"> pels departaments, fins</w:t>
      </w:r>
      <w:r w:rsidRPr="009A3B65">
        <w:rPr>
          <w:rFonts w:cs="Arial"/>
        </w:rPr>
        <w:t xml:space="preserve"> </w:t>
      </w:r>
      <w:r>
        <w:rPr>
          <w:rFonts w:cs="Arial"/>
        </w:rPr>
        <w:t>a mitjans de juny i</w:t>
      </w:r>
      <w:r w:rsidRPr="009A3B65">
        <w:rPr>
          <w:rFonts w:cs="Arial"/>
        </w:rPr>
        <w:t xml:space="preserve">, </w:t>
      </w:r>
      <w:r>
        <w:rPr>
          <w:rFonts w:cs="Arial"/>
        </w:rPr>
        <w:t>a continuació</w:t>
      </w:r>
      <w:r w:rsidRPr="009A3B65">
        <w:rPr>
          <w:rFonts w:cs="Arial"/>
        </w:rPr>
        <w:t>, una segona avaluació</w:t>
      </w:r>
      <w:r>
        <w:rPr>
          <w:rFonts w:cs="Arial"/>
        </w:rPr>
        <w:t xml:space="preserve"> per part de la Secretaria de Transparència i Govern Obert sobre els resultats rebuts</w:t>
      </w:r>
      <w:r w:rsidRPr="009A3B65">
        <w:rPr>
          <w:rFonts w:cs="Arial"/>
        </w:rPr>
        <w:t>.</w:t>
      </w:r>
    </w:p>
    <w:p w:rsidR="00BE290C" w:rsidRDefault="00BE290C" w:rsidP="00680AB0">
      <w:pPr>
        <w:spacing w:before="120" w:after="120"/>
        <w:jc w:val="both"/>
        <w:rPr>
          <w:rFonts w:cs="Arial"/>
        </w:rPr>
      </w:pPr>
    </w:p>
    <w:p w:rsidR="00775613" w:rsidRDefault="00AD0DED" w:rsidP="00AD0DED">
      <w:pPr>
        <w:pStyle w:val="Ttol1"/>
        <w:spacing w:before="120" w:after="120" w:line="240" w:lineRule="auto"/>
        <w:jc w:val="both"/>
        <w:rPr>
          <w:rFonts w:ascii="Arial" w:hAnsi="Arial" w:cs="Arial"/>
        </w:rPr>
      </w:pPr>
      <w:bookmarkStart w:id="41" w:name="_Toc442864031"/>
      <w:bookmarkStart w:id="42" w:name="_Toc14780373"/>
      <w:r w:rsidRPr="00AD0DED">
        <w:rPr>
          <w:rFonts w:ascii="Arial" w:hAnsi="Arial" w:cs="Arial"/>
        </w:rPr>
        <w:t>5.</w:t>
      </w:r>
      <w:r>
        <w:rPr>
          <w:rFonts w:ascii="Arial" w:hAnsi="Arial" w:cs="Arial"/>
        </w:rPr>
        <w:t xml:space="preserve"> </w:t>
      </w:r>
      <w:r w:rsidR="00775613" w:rsidRPr="009A3B65">
        <w:rPr>
          <w:rFonts w:ascii="Arial" w:hAnsi="Arial" w:cs="Arial"/>
        </w:rPr>
        <w:t>R</w:t>
      </w:r>
      <w:bookmarkEnd w:id="41"/>
      <w:r w:rsidR="00967012">
        <w:rPr>
          <w:rFonts w:ascii="Arial" w:hAnsi="Arial" w:cs="Arial"/>
        </w:rPr>
        <w:t>esultats de l’avaluació</w:t>
      </w:r>
      <w:bookmarkEnd w:id="42"/>
    </w:p>
    <w:p w:rsidR="00E04CEA" w:rsidRDefault="00975E32" w:rsidP="00CA551F">
      <w:pPr>
        <w:spacing w:before="120" w:after="120"/>
        <w:jc w:val="both"/>
        <w:rPr>
          <w:rFonts w:cs="Arial"/>
        </w:rPr>
      </w:pPr>
      <w:r>
        <w:rPr>
          <w:rFonts w:cs="Arial"/>
        </w:rPr>
        <w:t>E</w:t>
      </w:r>
      <w:r w:rsidR="00C84FC4" w:rsidRPr="009A3B65">
        <w:rPr>
          <w:rFonts w:cs="Arial"/>
        </w:rPr>
        <w:t xml:space="preserve">ls resultats de l’avaluació responen al moment en què s’ha donat per tancada, </w:t>
      </w:r>
      <w:r w:rsidR="001E6CC5">
        <w:rPr>
          <w:rFonts w:cs="Arial"/>
        </w:rPr>
        <w:t xml:space="preserve">cap </w:t>
      </w:r>
      <w:r w:rsidR="00C84FC4" w:rsidRPr="009A3B65">
        <w:rPr>
          <w:rFonts w:cs="Arial"/>
        </w:rPr>
        <w:t xml:space="preserve">a mitjans </w:t>
      </w:r>
      <w:r w:rsidR="00803D28">
        <w:rPr>
          <w:rFonts w:cs="Arial"/>
        </w:rPr>
        <w:t>de juliol</w:t>
      </w:r>
      <w:r w:rsidR="00C84FC4" w:rsidRPr="009A3B65">
        <w:rPr>
          <w:rFonts w:cs="Arial"/>
        </w:rPr>
        <w:t xml:space="preserve"> de 201</w:t>
      </w:r>
      <w:r w:rsidR="00803D28">
        <w:rPr>
          <w:rFonts w:cs="Arial"/>
        </w:rPr>
        <w:t>9</w:t>
      </w:r>
      <w:r w:rsidR="00C84FC4" w:rsidRPr="009A3B65">
        <w:rPr>
          <w:rFonts w:cs="Arial"/>
        </w:rPr>
        <w:t xml:space="preserve">. </w:t>
      </w:r>
    </w:p>
    <w:p w:rsidR="00F20806" w:rsidRDefault="00F20806" w:rsidP="00CA551F">
      <w:pPr>
        <w:spacing w:before="120" w:after="120"/>
        <w:jc w:val="both"/>
        <w:rPr>
          <w:rFonts w:cs="Arial"/>
        </w:rPr>
      </w:pPr>
      <w:r>
        <w:rPr>
          <w:rFonts w:cs="Arial"/>
        </w:rPr>
        <w:t xml:space="preserve">Els resultats globals es mostren en el qüestionari Excel adjunt </w:t>
      </w:r>
      <w:r w:rsidR="00C92062">
        <w:rPr>
          <w:rFonts w:cs="Arial"/>
        </w:rPr>
        <w:t>a</w:t>
      </w:r>
      <w:r>
        <w:rPr>
          <w:rFonts w:cs="Arial"/>
        </w:rPr>
        <w:t xml:space="preserve"> aquest informe, en l’Annex 2 al final. En el qüestionari poden veure’s els resultats de l’autoavaluació tramesa pels departaments i l’avaluaci</w:t>
      </w:r>
      <w:r w:rsidR="00847E96">
        <w:rPr>
          <w:rFonts w:cs="Arial"/>
        </w:rPr>
        <w:t>ó final feta per la STGO, així com les observacions pertinents.</w:t>
      </w:r>
    </w:p>
    <w:p w:rsidR="00B94C1D" w:rsidRDefault="00B94C1D" w:rsidP="006C44CB">
      <w:pPr>
        <w:spacing w:before="120" w:after="120"/>
        <w:jc w:val="both"/>
        <w:rPr>
          <w:rFonts w:cs="Arial"/>
        </w:rPr>
      </w:pPr>
      <w:r>
        <w:rPr>
          <w:rFonts w:cs="Arial"/>
        </w:rPr>
        <w:t>Els resultats de cadascun dels indicadors en relació amb els epígrafs que són responsabilitat de tots els departaments (TOTS) son una mitjana de la valoració dels 13 departaments actuals.</w:t>
      </w:r>
      <w:r w:rsidR="006C44CB">
        <w:rPr>
          <w:rFonts w:cs="Arial"/>
        </w:rPr>
        <w:t xml:space="preserve"> En aquest cas, l’avaluació ha suposat una tasca rellevant de revisió</w:t>
      </w:r>
      <w:r w:rsidR="006C44CB" w:rsidRPr="006C44CB">
        <w:rPr>
          <w:rFonts w:cs="Arial"/>
          <w:lang w:eastAsia="ca-ES"/>
        </w:rPr>
        <w:t xml:space="preserve"> </w:t>
      </w:r>
      <w:r w:rsidR="006C44CB">
        <w:rPr>
          <w:rFonts w:cs="Arial"/>
          <w:lang w:eastAsia="ca-ES"/>
        </w:rPr>
        <w:t>i la part més laboriosa</w:t>
      </w:r>
      <w:r w:rsidR="006C44CB">
        <w:rPr>
          <w:rFonts w:cs="Arial"/>
        </w:rPr>
        <w:t>,</w:t>
      </w:r>
      <w:r w:rsidR="006C44CB" w:rsidRPr="006C44CB">
        <w:rPr>
          <w:rFonts w:cs="Arial"/>
          <w:lang w:eastAsia="ca-ES"/>
        </w:rPr>
        <w:t xml:space="preserve"> </w:t>
      </w:r>
      <w:r w:rsidR="006C44CB" w:rsidRPr="009A3B65">
        <w:rPr>
          <w:rFonts w:cs="Arial"/>
          <w:lang w:eastAsia="ca-ES"/>
        </w:rPr>
        <w:t>ja que en cada epígraf d’aquest tipus hi ha</w:t>
      </w:r>
      <w:r w:rsidR="006C44CB">
        <w:rPr>
          <w:rFonts w:cs="Arial"/>
          <w:lang w:eastAsia="ca-ES"/>
        </w:rPr>
        <w:t xml:space="preserve"> d’haver</w:t>
      </w:r>
      <w:r w:rsidR="006C44CB" w:rsidRPr="009A3B65">
        <w:rPr>
          <w:rFonts w:cs="Arial"/>
          <w:lang w:eastAsia="ca-ES"/>
        </w:rPr>
        <w:t xml:space="preserve"> un enllaç a cada un dels tretze departaments actuals, el que significa un total de 2</w:t>
      </w:r>
      <w:r w:rsidR="006C44CB">
        <w:rPr>
          <w:rFonts w:cs="Arial"/>
          <w:lang w:eastAsia="ca-ES"/>
        </w:rPr>
        <w:t>47 enllaços</w:t>
      </w:r>
      <w:r w:rsidR="006C44CB">
        <w:rPr>
          <w:rFonts w:cs="Arial"/>
          <w:lang w:eastAsia="ca-ES"/>
        </w:rPr>
        <w:t>.</w:t>
      </w:r>
    </w:p>
    <w:p w:rsidR="00AE1AC7" w:rsidRDefault="00AE1AC7" w:rsidP="00CA551F">
      <w:pPr>
        <w:spacing w:before="120" w:after="120"/>
        <w:jc w:val="both"/>
        <w:rPr>
          <w:rFonts w:cs="Arial"/>
        </w:rPr>
      </w:pPr>
    </w:p>
    <w:p w:rsidR="00AE1AC7" w:rsidRDefault="00AE1AC7" w:rsidP="00C03A1F">
      <w:pPr>
        <w:pStyle w:val="Ttol2"/>
        <w:jc w:val="both"/>
        <w:rPr>
          <w:rFonts w:ascii="Arial" w:hAnsi="Arial" w:cs="Arial"/>
        </w:rPr>
      </w:pPr>
      <w:bookmarkStart w:id="43" w:name="_Toc14780374"/>
      <w:r w:rsidRPr="00F85409">
        <w:rPr>
          <w:rFonts w:ascii="Arial" w:hAnsi="Arial" w:cs="Arial"/>
        </w:rPr>
        <w:t>5.1 Resultats de l’autoavaluació feta pels departaments i de l’avaluació feta per la STGO</w:t>
      </w:r>
      <w:r>
        <w:rPr>
          <w:rFonts w:ascii="Arial" w:hAnsi="Arial" w:cs="Arial"/>
        </w:rPr>
        <w:t xml:space="preserve"> per apartats del Portal</w:t>
      </w:r>
      <w:bookmarkEnd w:id="43"/>
    </w:p>
    <w:p w:rsidR="00CB237E" w:rsidRDefault="00CB237E" w:rsidP="00CA551F">
      <w:pPr>
        <w:spacing w:before="120" w:after="120"/>
        <w:jc w:val="both"/>
        <w:rPr>
          <w:rFonts w:cs="Arial"/>
        </w:rPr>
      </w:pPr>
    </w:p>
    <w:p w:rsidR="008871F6" w:rsidRPr="00CB237E" w:rsidRDefault="00CB237E" w:rsidP="00902CD6">
      <w:pPr>
        <w:jc w:val="both"/>
        <w:rPr>
          <w:b/>
        </w:rPr>
      </w:pPr>
      <w:r w:rsidRPr="00CB237E">
        <w:rPr>
          <w:b/>
        </w:rPr>
        <w:t xml:space="preserve">Gràfic </w:t>
      </w:r>
      <w:r w:rsidR="006C6DFE">
        <w:rPr>
          <w:b/>
        </w:rPr>
        <w:t>3</w:t>
      </w:r>
      <w:r w:rsidRPr="00CB237E">
        <w:rPr>
          <w:b/>
        </w:rPr>
        <w:t>. Resultats autoavaluació departaments i avaluació STGO, %</w:t>
      </w:r>
    </w:p>
    <w:p w:rsidR="00CB237E" w:rsidRDefault="00CB237E" w:rsidP="00902CD6">
      <w:pPr>
        <w:jc w:val="both"/>
      </w:pPr>
    </w:p>
    <w:p w:rsidR="00CB237E" w:rsidRDefault="002B4D19" w:rsidP="00902CD6">
      <w:pPr>
        <w:jc w:val="both"/>
      </w:pPr>
      <w:r>
        <w:rPr>
          <w:noProof/>
          <w:lang w:eastAsia="ca-ES"/>
        </w:rPr>
        <w:drawing>
          <wp:inline distT="0" distB="0" distL="0" distR="0" wp14:anchorId="55A69E5C" wp14:editId="3A916583">
            <wp:extent cx="3986213" cy="2181225"/>
            <wp:effectExtent l="0" t="0" r="14605" b="9525"/>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85409" w:rsidRDefault="00F85409" w:rsidP="00CA551F">
      <w:pPr>
        <w:spacing w:before="120" w:after="120"/>
        <w:jc w:val="both"/>
        <w:rPr>
          <w:rFonts w:cs="Arial"/>
        </w:rPr>
      </w:pPr>
    </w:p>
    <w:p w:rsidR="00CB237E" w:rsidRDefault="00CB237E" w:rsidP="00B94C1D">
      <w:pPr>
        <w:spacing w:before="120" w:after="120"/>
        <w:jc w:val="both"/>
      </w:pPr>
      <w:r>
        <w:t xml:space="preserve">El resultat final de l’avaluació feta per la STGO ha estat d’un 90’97%, mentre que el de l’autoavaluació ha sigut una mica inferior, d’un 88’68%. </w:t>
      </w:r>
      <w:r w:rsidR="00734782">
        <w:t>Aq</w:t>
      </w:r>
      <w:r>
        <w:t xml:space="preserve">uesta diferència </w:t>
      </w:r>
      <w:r w:rsidR="00734782">
        <w:t xml:space="preserve">es deu al fet </w:t>
      </w:r>
      <w:r>
        <w:t>alguns departaments han valorat com a zero alguns epígrafs dels quals no generen ni publiquen informació, quan tampoc no és obligatori.</w:t>
      </w:r>
    </w:p>
    <w:p w:rsidR="00F85409" w:rsidRDefault="008871F6" w:rsidP="00B94C1D">
      <w:pPr>
        <w:spacing w:before="120" w:after="120"/>
        <w:jc w:val="both"/>
      </w:pPr>
      <w:r>
        <w:t xml:space="preserve">En </w:t>
      </w:r>
      <w:r w:rsidR="00AE1AC7">
        <w:t>el</w:t>
      </w:r>
      <w:r w:rsidR="00127824">
        <w:t>s</w:t>
      </w:r>
      <w:r>
        <w:t xml:space="preserve"> gràfic</w:t>
      </w:r>
      <w:r w:rsidR="00127824">
        <w:t>s</w:t>
      </w:r>
      <w:r>
        <w:t xml:space="preserve"> següent</w:t>
      </w:r>
      <w:r w:rsidR="00127824">
        <w:t>s</w:t>
      </w:r>
      <w:r>
        <w:t xml:space="preserve"> es mostren els resultats de les dues avaluacions en funció dels apartats del Portal de la Transparència</w:t>
      </w:r>
      <w:r w:rsidR="00127824">
        <w:t xml:space="preserve"> i en funció dels indicadors d’avaluació</w:t>
      </w:r>
      <w:r>
        <w:t>.</w:t>
      </w:r>
    </w:p>
    <w:p w:rsidR="000B3C94" w:rsidRDefault="00B94C1D" w:rsidP="00B94C1D">
      <w:pPr>
        <w:spacing w:before="120" w:after="120"/>
        <w:jc w:val="both"/>
      </w:pPr>
      <w:r>
        <w:t>C</w:t>
      </w:r>
      <w:r w:rsidR="000B3C94">
        <w:t>om s’hi pot observar en tots dos gràfics,</w:t>
      </w:r>
      <w:r w:rsidR="00C045E4">
        <w:t xml:space="preserve"> es manté</w:t>
      </w:r>
      <w:r w:rsidR="000B3C94">
        <w:t xml:space="preserve"> la tendència </w:t>
      </w:r>
      <w:r w:rsidR="00C045E4">
        <w:t>general a una valoració inferior per part dels departaments, tret d’un parell d’apartats (Economia i Finances, i Govern) i de l’indicador Font, format i actualització.</w:t>
      </w:r>
    </w:p>
    <w:p w:rsidR="00127824" w:rsidRDefault="00127824" w:rsidP="00B94C1D">
      <w:pPr>
        <w:spacing w:before="120" w:after="120"/>
      </w:pPr>
    </w:p>
    <w:p w:rsidR="00AE1AC7" w:rsidRPr="00AE1AC7" w:rsidRDefault="00AE1AC7" w:rsidP="00B94C1D">
      <w:pPr>
        <w:spacing w:before="120" w:after="120"/>
        <w:rPr>
          <w:b/>
        </w:rPr>
      </w:pPr>
      <w:r w:rsidRPr="00AE1AC7">
        <w:rPr>
          <w:b/>
        </w:rPr>
        <w:t xml:space="preserve">Gràfic </w:t>
      </w:r>
      <w:r w:rsidR="006C6DFE">
        <w:rPr>
          <w:b/>
        </w:rPr>
        <w:t>4</w:t>
      </w:r>
      <w:r w:rsidRPr="00AE1AC7">
        <w:rPr>
          <w:b/>
        </w:rPr>
        <w:t>. Resultats per apartats del Portal</w:t>
      </w:r>
      <w:r w:rsidR="007F0E20">
        <w:rPr>
          <w:b/>
        </w:rPr>
        <w:t>, %</w:t>
      </w:r>
      <w:r w:rsidRPr="00AE1AC7">
        <w:rPr>
          <w:b/>
        </w:rPr>
        <w:t>.</w:t>
      </w:r>
    </w:p>
    <w:p w:rsidR="00D937DE" w:rsidRDefault="00D937DE" w:rsidP="00CA551F">
      <w:pPr>
        <w:spacing w:before="120" w:after="120"/>
        <w:jc w:val="both"/>
        <w:rPr>
          <w:rFonts w:cs="Arial"/>
        </w:rPr>
      </w:pPr>
      <w:r>
        <w:rPr>
          <w:noProof/>
          <w:lang w:eastAsia="ca-ES"/>
        </w:rPr>
        <w:drawing>
          <wp:inline distT="0" distB="0" distL="0" distR="0" wp14:anchorId="2E1F176E" wp14:editId="22A49C58">
            <wp:extent cx="4572000" cy="2743200"/>
            <wp:effectExtent l="0" t="0" r="0" b="0"/>
            <wp:docPr id="6" name="Gràfi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27824" w:rsidRDefault="00127824" w:rsidP="00CA551F">
      <w:pPr>
        <w:spacing w:before="120" w:after="120"/>
        <w:jc w:val="both"/>
        <w:rPr>
          <w:rFonts w:cs="Arial"/>
        </w:rPr>
      </w:pPr>
    </w:p>
    <w:p w:rsidR="00127824" w:rsidRPr="00AE1AC7" w:rsidRDefault="00127824" w:rsidP="00127824">
      <w:pPr>
        <w:rPr>
          <w:b/>
        </w:rPr>
      </w:pPr>
      <w:r w:rsidRPr="00AE1AC7">
        <w:rPr>
          <w:b/>
        </w:rPr>
        <w:t xml:space="preserve">Gràfic </w:t>
      </w:r>
      <w:r w:rsidR="006C6DFE">
        <w:rPr>
          <w:b/>
        </w:rPr>
        <w:t>5</w:t>
      </w:r>
      <w:r w:rsidRPr="00AE1AC7">
        <w:rPr>
          <w:b/>
        </w:rPr>
        <w:t xml:space="preserve">. Resultats per </w:t>
      </w:r>
      <w:r>
        <w:rPr>
          <w:b/>
        </w:rPr>
        <w:t>indicadors d’avaluació</w:t>
      </w:r>
      <w:r w:rsidR="007F0E20">
        <w:rPr>
          <w:b/>
        </w:rPr>
        <w:t>, %</w:t>
      </w:r>
      <w:r w:rsidRPr="00AE1AC7">
        <w:rPr>
          <w:b/>
        </w:rPr>
        <w:t>.</w:t>
      </w:r>
    </w:p>
    <w:p w:rsidR="00127824" w:rsidRDefault="001424C2" w:rsidP="00CA551F">
      <w:pPr>
        <w:spacing w:before="120" w:after="120"/>
        <w:jc w:val="both"/>
        <w:rPr>
          <w:rFonts w:cs="Arial"/>
        </w:rPr>
      </w:pPr>
      <w:r>
        <w:rPr>
          <w:noProof/>
          <w:lang w:eastAsia="ca-ES"/>
        </w:rPr>
        <w:drawing>
          <wp:inline distT="0" distB="0" distL="0" distR="0" wp14:anchorId="0DC4B1D4" wp14:editId="2A051B02">
            <wp:extent cx="4572000" cy="2743200"/>
            <wp:effectExtent l="0" t="0" r="0" b="0"/>
            <wp:docPr id="10" name="Gràfi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7824" w:rsidRPr="009A3B65" w:rsidRDefault="00127824" w:rsidP="00CA551F">
      <w:pPr>
        <w:spacing w:before="120" w:after="120"/>
        <w:jc w:val="both"/>
        <w:rPr>
          <w:rFonts w:cs="Arial"/>
        </w:rPr>
      </w:pPr>
    </w:p>
    <w:p w:rsidR="00552AE1" w:rsidRDefault="00552AE1" w:rsidP="00CA551F">
      <w:pPr>
        <w:spacing w:before="120" w:after="120"/>
        <w:jc w:val="both"/>
        <w:rPr>
          <w:rFonts w:cs="Arial"/>
        </w:rPr>
      </w:pPr>
    </w:p>
    <w:p w:rsidR="00775613" w:rsidRPr="009A3B65" w:rsidRDefault="004337B0" w:rsidP="00CA551F">
      <w:pPr>
        <w:pStyle w:val="Ttol2"/>
        <w:spacing w:before="120" w:after="120" w:line="240" w:lineRule="auto"/>
        <w:jc w:val="both"/>
        <w:rPr>
          <w:rFonts w:ascii="Arial" w:hAnsi="Arial" w:cs="Arial"/>
          <w:lang w:eastAsia="ca-ES"/>
        </w:rPr>
      </w:pPr>
      <w:bookmarkStart w:id="44" w:name="_Toc442864032"/>
      <w:bookmarkStart w:id="45" w:name="_Toc14780375"/>
      <w:r>
        <w:rPr>
          <w:rFonts w:ascii="Arial" w:hAnsi="Arial" w:cs="Arial"/>
          <w:lang w:eastAsia="ca-ES"/>
        </w:rPr>
        <w:t>5</w:t>
      </w:r>
      <w:r w:rsidR="00E62A2A">
        <w:rPr>
          <w:rFonts w:ascii="Arial" w:hAnsi="Arial" w:cs="Arial"/>
          <w:lang w:eastAsia="ca-ES"/>
        </w:rPr>
        <w:t>.</w:t>
      </w:r>
      <w:r w:rsidR="00F85409">
        <w:rPr>
          <w:rFonts w:ascii="Arial" w:hAnsi="Arial" w:cs="Arial"/>
          <w:lang w:eastAsia="ca-ES"/>
        </w:rPr>
        <w:t>2</w:t>
      </w:r>
      <w:r w:rsidR="00775613" w:rsidRPr="009A3B65">
        <w:rPr>
          <w:rFonts w:ascii="Arial" w:hAnsi="Arial" w:cs="Arial"/>
          <w:lang w:eastAsia="ca-ES"/>
        </w:rPr>
        <w:t xml:space="preserve"> Resultats</w:t>
      </w:r>
      <w:r w:rsidR="00B77F10">
        <w:rPr>
          <w:rFonts w:ascii="Arial" w:hAnsi="Arial" w:cs="Arial"/>
          <w:lang w:eastAsia="ca-ES"/>
        </w:rPr>
        <w:t xml:space="preserve"> globals</w:t>
      </w:r>
      <w:bookmarkEnd w:id="44"/>
      <w:r w:rsidR="00BF5D58">
        <w:rPr>
          <w:rFonts w:ascii="Arial" w:hAnsi="Arial" w:cs="Arial"/>
          <w:lang w:eastAsia="ca-ES"/>
        </w:rPr>
        <w:t xml:space="preserve"> de l’avaluació feta per la STGO</w:t>
      </w:r>
      <w:bookmarkEnd w:id="45"/>
    </w:p>
    <w:p w:rsidR="00775613" w:rsidRDefault="00775613" w:rsidP="00CC4068">
      <w:pPr>
        <w:pStyle w:val="IDC2"/>
        <w:spacing w:before="120" w:after="120" w:line="240" w:lineRule="auto"/>
      </w:pPr>
      <w:r w:rsidRPr="009A3B65">
        <w:t>E</w:t>
      </w:r>
      <w:r w:rsidR="008947C4" w:rsidRPr="009A3B65">
        <w:t xml:space="preserve">n la taula </w:t>
      </w:r>
      <w:r w:rsidR="00B3454F" w:rsidRPr="009A3B65">
        <w:t xml:space="preserve">següent </w:t>
      </w:r>
      <w:r w:rsidR="008947C4" w:rsidRPr="009A3B65">
        <w:t>es mostren els resultats per apartats</w:t>
      </w:r>
      <w:r w:rsidR="0027693C">
        <w:t xml:space="preserve"> i indicadors, tant parcials com globals,</w:t>
      </w:r>
      <w:r w:rsidR="008947C4" w:rsidRPr="009A3B65">
        <w:t xml:space="preserve"> </w:t>
      </w:r>
      <w:r w:rsidR="0027693C">
        <w:t>d</w:t>
      </w:r>
      <w:r w:rsidR="008947C4" w:rsidRPr="009A3B65">
        <w:t xml:space="preserve">el resultat </w:t>
      </w:r>
      <w:r w:rsidR="00B25395" w:rsidRPr="009A3B65">
        <w:t>de l’avaluació</w:t>
      </w:r>
      <w:r w:rsidR="005A7B71">
        <w:t xml:space="preserve"> final</w:t>
      </w:r>
      <w:r w:rsidR="00B25395" w:rsidRPr="009A3B65">
        <w:t xml:space="preserve"> de les obligacions de transparència</w:t>
      </w:r>
      <w:r w:rsidR="008947C4" w:rsidRPr="009A3B65">
        <w:t xml:space="preserve">. </w:t>
      </w:r>
      <w:r w:rsidR="00CF7ED3" w:rsidRPr="009A3B65">
        <w:t>Com s’hi observa, e</w:t>
      </w:r>
      <w:r w:rsidR="008947C4" w:rsidRPr="009A3B65">
        <w:t xml:space="preserve">l </w:t>
      </w:r>
      <w:r w:rsidR="008947C4" w:rsidRPr="009A3B65">
        <w:rPr>
          <w:b/>
        </w:rPr>
        <w:t>resultat global</w:t>
      </w:r>
      <w:r w:rsidR="007A786E">
        <w:rPr>
          <w:b/>
        </w:rPr>
        <w:t xml:space="preserve"> total</w:t>
      </w:r>
      <w:r w:rsidR="008947C4" w:rsidRPr="009A3B65">
        <w:t xml:space="preserve"> és </w:t>
      </w:r>
      <w:r w:rsidR="007A786E">
        <w:t>d’</w:t>
      </w:r>
      <w:r w:rsidR="008947C4" w:rsidRPr="009A3B65">
        <w:t>un</w:t>
      </w:r>
      <w:r w:rsidR="007A786E">
        <w:t xml:space="preserve"> </w:t>
      </w:r>
      <w:r w:rsidR="007A786E" w:rsidRPr="007A786E">
        <w:rPr>
          <w:b/>
        </w:rPr>
        <w:t>90’97%</w:t>
      </w:r>
      <w:r w:rsidR="007A786E">
        <w:t>, gairebé igual que l’obtingut l’any anterior</w:t>
      </w:r>
      <w:r w:rsidR="008947C4" w:rsidRPr="009A3B65">
        <w:t xml:space="preserve"> </w:t>
      </w:r>
      <w:r w:rsidR="007A786E">
        <w:t>(</w:t>
      </w:r>
      <w:r w:rsidR="007A786E" w:rsidRPr="00A3472F">
        <w:t xml:space="preserve">un </w:t>
      </w:r>
      <w:r w:rsidR="008947C4" w:rsidRPr="00A3472F">
        <w:t>91,0</w:t>
      </w:r>
      <w:r w:rsidR="00001C66" w:rsidRPr="00A3472F">
        <w:t>8</w:t>
      </w:r>
      <w:r w:rsidR="008947C4" w:rsidRPr="00A3472F">
        <w:t>%</w:t>
      </w:r>
      <w:r w:rsidR="007A786E" w:rsidRPr="00A3472F">
        <w:t>)</w:t>
      </w:r>
      <w:r w:rsidR="00CF7ED3" w:rsidRPr="009A3B65">
        <w:t>.</w:t>
      </w:r>
      <w:r w:rsidR="00613A19" w:rsidRPr="009A3B65">
        <w:t xml:space="preserve"> </w:t>
      </w:r>
    </w:p>
    <w:p w:rsidR="00215A19" w:rsidRPr="0027693C" w:rsidRDefault="00215A19" w:rsidP="00CC4068">
      <w:pPr>
        <w:spacing w:before="120" w:after="120"/>
        <w:rPr>
          <w:lang w:eastAsia="ca-ES"/>
        </w:rPr>
      </w:pPr>
    </w:p>
    <w:p w:rsidR="0027693C" w:rsidRPr="005A7B71" w:rsidRDefault="0027693C" w:rsidP="00CC4068">
      <w:pPr>
        <w:spacing w:before="120" w:after="120"/>
        <w:rPr>
          <w:b/>
          <w:lang w:eastAsia="ca-ES"/>
        </w:rPr>
      </w:pPr>
      <w:r w:rsidRPr="005A7B71">
        <w:rPr>
          <w:b/>
          <w:lang w:eastAsia="ca-ES"/>
        </w:rPr>
        <w:t xml:space="preserve">Taula </w:t>
      </w:r>
      <w:r w:rsidR="007B39A0">
        <w:rPr>
          <w:b/>
          <w:lang w:eastAsia="ca-ES"/>
        </w:rPr>
        <w:t>3</w:t>
      </w:r>
      <w:r w:rsidRPr="005A7B71">
        <w:rPr>
          <w:b/>
          <w:lang w:eastAsia="ca-ES"/>
        </w:rPr>
        <w:t xml:space="preserve">. Resultats </w:t>
      </w:r>
      <w:r w:rsidR="007B39A0">
        <w:rPr>
          <w:b/>
          <w:lang w:eastAsia="ca-ES"/>
        </w:rPr>
        <w:t>per apartats i indicadors, en %</w:t>
      </w:r>
    </w:p>
    <w:tbl>
      <w:tblPr>
        <w:tblStyle w:val="Taulaambquadrcula"/>
        <w:tblW w:w="0" w:type="auto"/>
        <w:tblLook w:val="04A0" w:firstRow="1" w:lastRow="0" w:firstColumn="1" w:lastColumn="0" w:noHBand="0" w:noVBand="1"/>
      </w:tblPr>
      <w:tblGrid>
        <w:gridCol w:w="2447"/>
        <w:gridCol w:w="1167"/>
        <w:gridCol w:w="1257"/>
        <w:gridCol w:w="987"/>
        <w:gridCol w:w="2516"/>
        <w:gridCol w:w="667"/>
      </w:tblGrid>
      <w:tr w:rsidR="0027693C" w:rsidRPr="0027693C" w:rsidTr="0027693C">
        <w:trPr>
          <w:trHeight w:val="300"/>
        </w:trPr>
        <w:tc>
          <w:tcPr>
            <w:tcW w:w="2447"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Apartats</w:t>
            </w:r>
            <w:r w:rsidR="002E3F38">
              <w:rPr>
                <w:color w:val="FFFFFF" w:themeColor="background1"/>
                <w:sz w:val="18"/>
                <w:szCs w:val="18"/>
                <w:lang w:eastAsia="ca-ES"/>
              </w:rPr>
              <w:t xml:space="preserve"> del Portal</w:t>
            </w:r>
          </w:p>
        </w:tc>
        <w:tc>
          <w:tcPr>
            <w:tcW w:w="1167"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Presentació</w:t>
            </w:r>
          </w:p>
        </w:tc>
        <w:tc>
          <w:tcPr>
            <w:tcW w:w="1257"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Accessibilitat</w:t>
            </w:r>
          </w:p>
        </w:tc>
        <w:tc>
          <w:tcPr>
            <w:tcW w:w="987"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Contingut</w:t>
            </w:r>
          </w:p>
        </w:tc>
        <w:tc>
          <w:tcPr>
            <w:tcW w:w="2516"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Font, format i actualització</w:t>
            </w:r>
          </w:p>
        </w:tc>
        <w:tc>
          <w:tcPr>
            <w:tcW w:w="667" w:type="dxa"/>
            <w:shd w:val="clear" w:color="auto" w:fill="0070C0"/>
            <w:noWrap/>
            <w:hideMark/>
          </w:tcPr>
          <w:p w:rsidR="00231107" w:rsidRPr="0027693C" w:rsidRDefault="00231107">
            <w:pPr>
              <w:rPr>
                <w:color w:val="FFFFFF" w:themeColor="background1"/>
                <w:sz w:val="18"/>
                <w:szCs w:val="18"/>
                <w:lang w:eastAsia="ca-ES"/>
              </w:rPr>
            </w:pPr>
            <w:r w:rsidRPr="0027693C">
              <w:rPr>
                <w:color w:val="FFFFFF" w:themeColor="background1"/>
                <w:sz w:val="18"/>
                <w:szCs w:val="18"/>
                <w:lang w:eastAsia="ca-ES"/>
              </w:rPr>
              <w:t>Total</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Organització i normativa</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90,42</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91,41</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91,49</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89,91</w:t>
            </w:r>
          </w:p>
        </w:tc>
        <w:tc>
          <w:tcPr>
            <w:tcW w:w="667" w:type="dxa"/>
            <w:noWrap/>
            <w:hideMark/>
          </w:tcPr>
          <w:p w:rsidR="00231107" w:rsidRPr="00231107" w:rsidRDefault="00231107" w:rsidP="00231107">
            <w:pPr>
              <w:rPr>
                <w:sz w:val="18"/>
                <w:szCs w:val="18"/>
                <w:lang w:eastAsia="ca-ES"/>
              </w:rPr>
            </w:pPr>
            <w:r w:rsidRPr="00231107">
              <w:rPr>
                <w:sz w:val="18"/>
                <w:szCs w:val="18"/>
                <w:lang w:eastAsia="ca-ES"/>
              </w:rPr>
              <w:t>90,86</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Gestió dels serveis públics</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87,50</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89,58</w:t>
            </w:r>
          </w:p>
        </w:tc>
        <w:tc>
          <w:tcPr>
            <w:tcW w:w="987" w:type="dxa"/>
            <w:noWrap/>
            <w:hideMark/>
          </w:tcPr>
          <w:p w:rsidR="00231107" w:rsidRPr="00231107" w:rsidRDefault="00231107" w:rsidP="00231107">
            <w:pPr>
              <w:rPr>
                <w:sz w:val="18"/>
                <w:szCs w:val="18"/>
                <w:lang w:eastAsia="ca-ES"/>
              </w:rPr>
            </w:pPr>
            <w:r w:rsidRPr="00231107">
              <w:rPr>
                <w:sz w:val="18"/>
                <w:szCs w:val="18"/>
                <w:lang w:eastAsia="ca-ES"/>
              </w:rPr>
              <w:t>84,78</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80,13</w:t>
            </w:r>
          </w:p>
        </w:tc>
        <w:tc>
          <w:tcPr>
            <w:tcW w:w="667" w:type="dxa"/>
            <w:noWrap/>
            <w:hideMark/>
          </w:tcPr>
          <w:p w:rsidR="00231107" w:rsidRPr="00231107" w:rsidRDefault="00231107" w:rsidP="00231107">
            <w:pPr>
              <w:rPr>
                <w:sz w:val="18"/>
                <w:szCs w:val="18"/>
                <w:lang w:eastAsia="ca-ES"/>
              </w:rPr>
            </w:pPr>
            <w:r w:rsidRPr="00231107">
              <w:rPr>
                <w:sz w:val="18"/>
                <w:szCs w:val="18"/>
                <w:lang w:eastAsia="ca-ES"/>
              </w:rPr>
              <w:t>85,12</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Funció pública</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100,00</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100,00</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96,30</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93,52</w:t>
            </w:r>
          </w:p>
        </w:tc>
        <w:tc>
          <w:tcPr>
            <w:tcW w:w="667" w:type="dxa"/>
            <w:noWrap/>
            <w:hideMark/>
          </w:tcPr>
          <w:p w:rsidR="00231107" w:rsidRPr="00231107" w:rsidRDefault="00231107" w:rsidP="00231107">
            <w:pPr>
              <w:rPr>
                <w:sz w:val="18"/>
                <w:szCs w:val="18"/>
                <w:lang w:eastAsia="ca-ES"/>
              </w:rPr>
            </w:pPr>
            <w:r w:rsidRPr="00231107">
              <w:rPr>
                <w:sz w:val="18"/>
                <w:szCs w:val="18"/>
                <w:lang w:eastAsia="ca-ES"/>
              </w:rPr>
              <w:t>97,08</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Economia i Finances</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93,43</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89,26</w:t>
            </w:r>
          </w:p>
        </w:tc>
        <w:tc>
          <w:tcPr>
            <w:tcW w:w="987" w:type="dxa"/>
            <w:noWrap/>
            <w:hideMark/>
          </w:tcPr>
          <w:p w:rsidR="00231107" w:rsidRPr="00231107" w:rsidRDefault="00231107" w:rsidP="00231107">
            <w:pPr>
              <w:rPr>
                <w:sz w:val="18"/>
                <w:szCs w:val="18"/>
                <w:lang w:eastAsia="ca-ES"/>
              </w:rPr>
            </w:pPr>
            <w:r w:rsidRPr="00231107">
              <w:rPr>
                <w:sz w:val="18"/>
                <w:szCs w:val="18"/>
                <w:lang w:eastAsia="ca-ES"/>
              </w:rPr>
              <w:t>87,85</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69,65</w:t>
            </w:r>
          </w:p>
        </w:tc>
        <w:tc>
          <w:tcPr>
            <w:tcW w:w="667" w:type="dxa"/>
            <w:noWrap/>
            <w:hideMark/>
          </w:tcPr>
          <w:p w:rsidR="00231107" w:rsidRPr="00231107" w:rsidRDefault="00231107" w:rsidP="00231107">
            <w:pPr>
              <w:rPr>
                <w:sz w:val="18"/>
                <w:szCs w:val="18"/>
                <w:lang w:eastAsia="ca-ES"/>
              </w:rPr>
            </w:pPr>
            <w:r w:rsidRPr="00231107">
              <w:rPr>
                <w:sz w:val="18"/>
                <w:szCs w:val="18"/>
                <w:lang w:eastAsia="ca-ES"/>
              </w:rPr>
              <w:t>84,70</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Patrimoni</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95,00</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100,00</w:t>
            </w:r>
          </w:p>
        </w:tc>
        <w:tc>
          <w:tcPr>
            <w:tcW w:w="987" w:type="dxa"/>
            <w:noWrap/>
            <w:hideMark/>
          </w:tcPr>
          <w:p w:rsidR="00231107" w:rsidRPr="00231107" w:rsidRDefault="00231107" w:rsidP="00231107">
            <w:pPr>
              <w:rPr>
                <w:sz w:val="18"/>
                <w:szCs w:val="18"/>
                <w:lang w:eastAsia="ca-ES"/>
              </w:rPr>
            </w:pPr>
            <w:r w:rsidRPr="00231107">
              <w:rPr>
                <w:sz w:val="18"/>
                <w:szCs w:val="18"/>
                <w:lang w:eastAsia="ca-ES"/>
              </w:rPr>
              <w:t>85,00</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80,00</w:t>
            </w:r>
          </w:p>
        </w:tc>
        <w:tc>
          <w:tcPr>
            <w:tcW w:w="667" w:type="dxa"/>
            <w:noWrap/>
            <w:hideMark/>
          </w:tcPr>
          <w:p w:rsidR="00231107" w:rsidRPr="00231107" w:rsidRDefault="00231107" w:rsidP="00231107">
            <w:pPr>
              <w:rPr>
                <w:sz w:val="18"/>
                <w:szCs w:val="18"/>
                <w:lang w:eastAsia="ca-ES"/>
              </w:rPr>
            </w:pPr>
            <w:r w:rsidRPr="00231107">
              <w:rPr>
                <w:sz w:val="18"/>
                <w:szCs w:val="18"/>
                <w:lang w:eastAsia="ca-ES"/>
              </w:rPr>
              <w:t>88,75</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 xml:space="preserve">Contractació </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99,39</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97,64</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99,00</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92,21</w:t>
            </w:r>
          </w:p>
        </w:tc>
        <w:tc>
          <w:tcPr>
            <w:tcW w:w="667" w:type="dxa"/>
            <w:noWrap/>
            <w:hideMark/>
          </w:tcPr>
          <w:p w:rsidR="00231107" w:rsidRPr="00231107" w:rsidRDefault="00231107" w:rsidP="00231107">
            <w:pPr>
              <w:rPr>
                <w:sz w:val="18"/>
                <w:szCs w:val="18"/>
                <w:lang w:eastAsia="ca-ES"/>
              </w:rPr>
            </w:pPr>
            <w:r w:rsidRPr="00231107">
              <w:rPr>
                <w:sz w:val="18"/>
                <w:szCs w:val="18"/>
                <w:lang w:eastAsia="ca-ES"/>
              </w:rPr>
              <w:t>97,25</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Territori</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93,67</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91,63</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93,51</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82,01</w:t>
            </w:r>
          </w:p>
        </w:tc>
        <w:tc>
          <w:tcPr>
            <w:tcW w:w="667" w:type="dxa"/>
            <w:noWrap/>
            <w:hideMark/>
          </w:tcPr>
          <w:p w:rsidR="00231107" w:rsidRPr="00231107" w:rsidRDefault="00231107" w:rsidP="00231107">
            <w:pPr>
              <w:rPr>
                <w:sz w:val="18"/>
                <w:szCs w:val="18"/>
                <w:lang w:eastAsia="ca-ES"/>
              </w:rPr>
            </w:pPr>
            <w:r w:rsidRPr="00231107">
              <w:rPr>
                <w:sz w:val="18"/>
                <w:szCs w:val="18"/>
                <w:lang w:eastAsia="ca-ES"/>
              </w:rPr>
              <w:t>90,29</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Govern</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100,00</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100,00</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95,00</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81,67</w:t>
            </w:r>
          </w:p>
        </w:tc>
        <w:tc>
          <w:tcPr>
            <w:tcW w:w="667" w:type="dxa"/>
            <w:noWrap/>
            <w:hideMark/>
          </w:tcPr>
          <w:p w:rsidR="00231107" w:rsidRPr="00231107" w:rsidRDefault="00231107" w:rsidP="00231107">
            <w:pPr>
              <w:rPr>
                <w:sz w:val="18"/>
                <w:szCs w:val="18"/>
                <w:lang w:eastAsia="ca-ES"/>
              </w:rPr>
            </w:pPr>
            <w:r w:rsidRPr="00231107">
              <w:rPr>
                <w:sz w:val="18"/>
                <w:szCs w:val="18"/>
                <w:lang w:eastAsia="ca-ES"/>
              </w:rPr>
              <w:t>93,67</w:t>
            </w:r>
          </w:p>
        </w:tc>
      </w:tr>
      <w:tr w:rsidR="00231107" w:rsidRPr="00231107" w:rsidTr="00231107">
        <w:trPr>
          <w:trHeight w:val="300"/>
        </w:trPr>
        <w:tc>
          <w:tcPr>
            <w:tcW w:w="2447" w:type="dxa"/>
            <w:noWrap/>
            <w:hideMark/>
          </w:tcPr>
          <w:p w:rsidR="00231107" w:rsidRPr="00231107" w:rsidRDefault="00231107">
            <w:pPr>
              <w:rPr>
                <w:sz w:val="18"/>
                <w:szCs w:val="18"/>
                <w:lang w:eastAsia="ca-ES"/>
              </w:rPr>
            </w:pPr>
            <w:r w:rsidRPr="00231107">
              <w:rPr>
                <w:sz w:val="18"/>
                <w:szCs w:val="18"/>
                <w:lang w:eastAsia="ca-ES"/>
              </w:rPr>
              <w:t>Resultat global</w:t>
            </w:r>
          </w:p>
        </w:tc>
        <w:tc>
          <w:tcPr>
            <w:tcW w:w="1167" w:type="dxa"/>
            <w:noWrap/>
            <w:hideMark/>
          </w:tcPr>
          <w:p w:rsidR="00231107" w:rsidRPr="00231107" w:rsidRDefault="00231107" w:rsidP="00231107">
            <w:pPr>
              <w:rPr>
                <w:sz w:val="18"/>
                <w:szCs w:val="18"/>
                <w:lang w:eastAsia="ca-ES"/>
              </w:rPr>
            </w:pPr>
            <w:r w:rsidRPr="00231107">
              <w:rPr>
                <w:sz w:val="18"/>
                <w:szCs w:val="18"/>
                <w:lang w:eastAsia="ca-ES"/>
              </w:rPr>
              <w:t>94,93</w:t>
            </w:r>
          </w:p>
        </w:tc>
        <w:tc>
          <w:tcPr>
            <w:tcW w:w="1257" w:type="dxa"/>
            <w:noWrap/>
            <w:hideMark/>
          </w:tcPr>
          <w:p w:rsidR="00231107" w:rsidRPr="00231107" w:rsidRDefault="00231107" w:rsidP="00231107">
            <w:pPr>
              <w:rPr>
                <w:sz w:val="18"/>
                <w:szCs w:val="18"/>
                <w:lang w:eastAsia="ca-ES"/>
              </w:rPr>
            </w:pPr>
            <w:r w:rsidRPr="00231107">
              <w:rPr>
                <w:sz w:val="18"/>
                <w:szCs w:val="18"/>
                <w:lang w:eastAsia="ca-ES"/>
              </w:rPr>
              <w:t>94,94</w:t>
            </w:r>
          </w:p>
        </w:tc>
        <w:tc>
          <w:tcPr>
            <w:tcW w:w="987" w:type="dxa"/>
            <w:noWrap/>
            <w:hideMark/>
          </w:tcPr>
          <w:p w:rsidR="00231107" w:rsidRPr="00231107" w:rsidRDefault="00231107" w:rsidP="00231107">
            <w:pPr>
              <w:rPr>
                <w:sz w:val="18"/>
                <w:szCs w:val="18"/>
                <w:lang w:eastAsia="ca-ES"/>
              </w:rPr>
            </w:pPr>
            <w:r w:rsidRPr="00231107">
              <w:rPr>
                <w:sz w:val="18"/>
                <w:szCs w:val="18"/>
                <w:lang w:eastAsia="ca-ES"/>
              </w:rPr>
              <w:t>91,62</w:t>
            </w:r>
          </w:p>
        </w:tc>
        <w:tc>
          <w:tcPr>
            <w:tcW w:w="2516" w:type="dxa"/>
            <w:noWrap/>
            <w:hideMark/>
          </w:tcPr>
          <w:p w:rsidR="00231107" w:rsidRPr="00231107" w:rsidRDefault="00231107" w:rsidP="00231107">
            <w:pPr>
              <w:rPr>
                <w:sz w:val="18"/>
                <w:szCs w:val="18"/>
                <w:lang w:eastAsia="ca-ES"/>
              </w:rPr>
            </w:pPr>
            <w:r w:rsidRPr="00231107">
              <w:rPr>
                <w:sz w:val="18"/>
                <w:szCs w:val="18"/>
                <w:lang w:eastAsia="ca-ES"/>
              </w:rPr>
              <w:t>83,64</w:t>
            </w:r>
          </w:p>
        </w:tc>
        <w:tc>
          <w:tcPr>
            <w:tcW w:w="667" w:type="dxa"/>
            <w:noWrap/>
            <w:hideMark/>
          </w:tcPr>
          <w:p w:rsidR="00231107" w:rsidRPr="00E8275B" w:rsidRDefault="00231107" w:rsidP="00231107">
            <w:pPr>
              <w:rPr>
                <w:b/>
                <w:sz w:val="18"/>
                <w:szCs w:val="18"/>
                <w:lang w:eastAsia="ca-ES"/>
              </w:rPr>
            </w:pPr>
            <w:r w:rsidRPr="00E8275B">
              <w:rPr>
                <w:b/>
                <w:sz w:val="18"/>
                <w:szCs w:val="18"/>
                <w:lang w:eastAsia="ca-ES"/>
              </w:rPr>
              <w:t>90,97</w:t>
            </w:r>
          </w:p>
        </w:tc>
      </w:tr>
    </w:tbl>
    <w:p w:rsidR="005A7B71" w:rsidRDefault="005A7B71" w:rsidP="005A7B71">
      <w:pPr>
        <w:rPr>
          <w:lang w:eastAsia="ca-ES"/>
        </w:rPr>
      </w:pPr>
    </w:p>
    <w:p w:rsidR="005A7B71" w:rsidRPr="005A7B71" w:rsidRDefault="005A7B71" w:rsidP="007B39A0">
      <w:pPr>
        <w:jc w:val="both"/>
        <w:rPr>
          <w:lang w:eastAsia="ca-ES"/>
        </w:rPr>
      </w:pPr>
      <w:r>
        <w:rPr>
          <w:lang w:eastAsia="ca-ES"/>
        </w:rPr>
        <w:t>El resultat final és pràcticament idèntic que l’any anterior, simplement hi ha hagut una molt petita disminució</w:t>
      </w:r>
      <w:r w:rsidR="007B39A0">
        <w:rPr>
          <w:lang w:eastAsia="ca-ES"/>
        </w:rPr>
        <w:t>, explicable en bona part al fet que a l’hora de valorar segurament hi ha hagut una major exigència</w:t>
      </w:r>
      <w:r>
        <w:rPr>
          <w:lang w:eastAsia="ca-ES"/>
        </w:rPr>
        <w:t>.</w:t>
      </w:r>
      <w:r w:rsidR="007B39A0">
        <w:rPr>
          <w:lang w:eastAsia="ca-ES"/>
        </w:rPr>
        <w:t xml:space="preserve"> En aquest sentit, cal indicar que, malgrat aquesta semblança a nivell quantitatiu, a efectes qualitatius s’observa una millora en el conjunt dels indicadors respecte de l’avaluació anterior.</w:t>
      </w:r>
    </w:p>
    <w:p w:rsidR="00B77F10" w:rsidRDefault="00B77F10" w:rsidP="00B77F10">
      <w:pPr>
        <w:rPr>
          <w:lang w:eastAsia="ca-ES"/>
        </w:rPr>
      </w:pPr>
    </w:p>
    <w:p w:rsidR="008947C4" w:rsidRPr="004337B0" w:rsidRDefault="004337B0" w:rsidP="004337B0">
      <w:pPr>
        <w:pStyle w:val="Ttol2"/>
        <w:rPr>
          <w:rFonts w:ascii="Arial" w:hAnsi="Arial" w:cs="Arial"/>
          <w:lang w:eastAsia="ca-ES"/>
        </w:rPr>
      </w:pPr>
      <w:bookmarkStart w:id="46" w:name="_Toc14780376"/>
      <w:r w:rsidRPr="004337B0">
        <w:rPr>
          <w:rFonts w:ascii="Arial" w:hAnsi="Arial" w:cs="Arial"/>
          <w:lang w:eastAsia="ca-ES"/>
        </w:rPr>
        <w:t>5</w:t>
      </w:r>
      <w:r w:rsidR="002E3F38" w:rsidRPr="004337B0">
        <w:rPr>
          <w:rFonts w:ascii="Arial" w:hAnsi="Arial" w:cs="Arial"/>
          <w:lang w:eastAsia="ca-ES"/>
        </w:rPr>
        <w:t>.</w:t>
      </w:r>
      <w:r w:rsidR="00F85409">
        <w:rPr>
          <w:rFonts w:ascii="Arial" w:hAnsi="Arial" w:cs="Arial"/>
          <w:lang w:eastAsia="ca-ES"/>
        </w:rPr>
        <w:t>3</w:t>
      </w:r>
      <w:r w:rsidR="002E3F38" w:rsidRPr="004337B0">
        <w:rPr>
          <w:rFonts w:ascii="Arial" w:hAnsi="Arial" w:cs="Arial"/>
          <w:lang w:eastAsia="ca-ES"/>
        </w:rPr>
        <w:t xml:space="preserve"> Resultats per apartats</w:t>
      </w:r>
      <w:bookmarkEnd w:id="46"/>
    </w:p>
    <w:p w:rsidR="008947C4" w:rsidRDefault="008947C4" w:rsidP="00CA551F">
      <w:pPr>
        <w:spacing w:before="120" w:after="120"/>
        <w:jc w:val="both"/>
        <w:rPr>
          <w:rFonts w:cs="Arial"/>
        </w:rPr>
      </w:pPr>
      <w:r w:rsidRPr="009A3B65">
        <w:rPr>
          <w:rFonts w:cs="Arial"/>
        </w:rPr>
        <w:t>E</w:t>
      </w:r>
      <w:r w:rsidR="00C46BCD" w:rsidRPr="009A3B65">
        <w:rPr>
          <w:rFonts w:cs="Arial"/>
        </w:rPr>
        <w:t>n e</w:t>
      </w:r>
      <w:r w:rsidRPr="009A3B65">
        <w:rPr>
          <w:rFonts w:cs="Arial"/>
        </w:rPr>
        <w:t>l gràfic següent</w:t>
      </w:r>
      <w:r w:rsidR="00C46BCD" w:rsidRPr="009A3B65">
        <w:rPr>
          <w:rFonts w:cs="Arial"/>
        </w:rPr>
        <w:t>, es</w:t>
      </w:r>
      <w:r w:rsidRPr="009A3B65">
        <w:rPr>
          <w:rFonts w:cs="Arial"/>
        </w:rPr>
        <w:t xml:space="preserve"> mostra el grau de compliment</w:t>
      </w:r>
      <w:r w:rsidR="006E2860">
        <w:rPr>
          <w:rFonts w:cs="Arial"/>
        </w:rPr>
        <w:t xml:space="preserve"> de les obligacions de transparència en funció</w:t>
      </w:r>
      <w:r w:rsidRPr="009A3B65">
        <w:rPr>
          <w:rFonts w:cs="Arial"/>
        </w:rPr>
        <w:t xml:space="preserve"> dels apartats del Portal de Transparència.</w:t>
      </w:r>
    </w:p>
    <w:p w:rsidR="00215A19" w:rsidRDefault="00215A19" w:rsidP="00CA551F">
      <w:pPr>
        <w:spacing w:before="120" w:after="120"/>
        <w:jc w:val="both"/>
        <w:rPr>
          <w:rFonts w:cs="Arial"/>
        </w:rPr>
      </w:pPr>
    </w:p>
    <w:p w:rsidR="002E3F38" w:rsidRDefault="00215A19" w:rsidP="00CA551F">
      <w:pPr>
        <w:spacing w:before="120" w:after="120"/>
        <w:jc w:val="both"/>
        <w:rPr>
          <w:rFonts w:cs="Arial"/>
          <w:b/>
        </w:rPr>
      </w:pPr>
      <w:r w:rsidRPr="009B7A5E">
        <w:rPr>
          <w:rFonts w:cs="Arial"/>
          <w:b/>
        </w:rPr>
        <w:t xml:space="preserve">Gràfic </w:t>
      </w:r>
      <w:r w:rsidR="006C6DFE">
        <w:rPr>
          <w:rFonts w:cs="Arial"/>
          <w:b/>
        </w:rPr>
        <w:t>6</w:t>
      </w:r>
      <w:r w:rsidRPr="009B7A5E">
        <w:rPr>
          <w:rFonts w:cs="Arial"/>
          <w:b/>
        </w:rPr>
        <w:t>. Resultats per apartats del Portal de la Transparència</w:t>
      </w:r>
      <w:r w:rsidR="004F7720">
        <w:rPr>
          <w:rFonts w:cs="Arial"/>
          <w:b/>
        </w:rPr>
        <w:t xml:space="preserve"> i comparació amb </w:t>
      </w:r>
      <w:r w:rsidR="00184C6B">
        <w:rPr>
          <w:rFonts w:cs="Arial"/>
          <w:b/>
        </w:rPr>
        <w:t>l’</w:t>
      </w:r>
      <w:r w:rsidR="004F7720">
        <w:rPr>
          <w:rFonts w:cs="Arial"/>
          <w:b/>
        </w:rPr>
        <w:t>avaluació anterior</w:t>
      </w:r>
      <w:r w:rsidR="00882089">
        <w:rPr>
          <w:rFonts w:cs="Arial"/>
          <w:b/>
        </w:rPr>
        <w:t>, %</w:t>
      </w:r>
    </w:p>
    <w:p w:rsidR="004F7720" w:rsidRPr="009B7A5E" w:rsidRDefault="004F7720" w:rsidP="00CA551F">
      <w:pPr>
        <w:spacing w:before="120" w:after="120"/>
        <w:jc w:val="both"/>
        <w:rPr>
          <w:rFonts w:cs="Arial"/>
          <w:b/>
        </w:rPr>
      </w:pPr>
      <w:r>
        <w:rPr>
          <w:noProof/>
          <w:lang w:eastAsia="ca-ES"/>
        </w:rPr>
        <w:drawing>
          <wp:inline distT="0" distB="0" distL="0" distR="0" wp14:anchorId="0AE15ABA" wp14:editId="10727E5A">
            <wp:extent cx="5776754" cy="3137562"/>
            <wp:effectExtent l="0" t="0" r="14605" b="5715"/>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E3F38" w:rsidRPr="009A3B65" w:rsidRDefault="002E3F38" w:rsidP="00CA551F">
      <w:pPr>
        <w:spacing w:before="120" w:after="120"/>
        <w:jc w:val="both"/>
        <w:rPr>
          <w:rFonts w:cs="Arial"/>
        </w:rPr>
      </w:pPr>
    </w:p>
    <w:p w:rsidR="005373F7" w:rsidRPr="009A3B65" w:rsidRDefault="005373F7" w:rsidP="003F382E">
      <w:pPr>
        <w:spacing w:before="120" w:after="120"/>
        <w:jc w:val="center"/>
        <w:rPr>
          <w:rFonts w:cs="Arial"/>
          <w:i/>
          <w:sz w:val="18"/>
        </w:rPr>
      </w:pPr>
    </w:p>
    <w:p w:rsidR="00346808" w:rsidRPr="009A3B65" w:rsidRDefault="00B00222" w:rsidP="00CA551F">
      <w:pPr>
        <w:spacing w:before="120" w:after="120"/>
        <w:jc w:val="both"/>
        <w:rPr>
          <w:rFonts w:cs="Arial"/>
          <w:color w:val="000000" w:themeColor="text1"/>
          <w:lang w:eastAsia="ca-ES"/>
        </w:rPr>
      </w:pPr>
      <w:r w:rsidRPr="009A3B65">
        <w:rPr>
          <w:rFonts w:cs="Arial"/>
          <w:lang w:eastAsia="ca-ES"/>
        </w:rPr>
        <w:t xml:space="preserve">El resultat </w:t>
      </w:r>
      <w:r>
        <w:rPr>
          <w:rFonts w:cs="Arial"/>
          <w:lang w:eastAsia="ca-ES"/>
        </w:rPr>
        <w:t>de l</w:t>
      </w:r>
      <w:r w:rsidR="000A09F1" w:rsidRPr="009A3B65">
        <w:rPr>
          <w:rFonts w:cs="Arial"/>
          <w:color w:val="000000" w:themeColor="text1"/>
        </w:rPr>
        <w:t>’</w:t>
      </w:r>
      <w:r w:rsidR="000A09F1" w:rsidRPr="009A3B65">
        <w:rPr>
          <w:rFonts w:cs="Arial"/>
          <w:b/>
          <w:color w:val="000000" w:themeColor="text1"/>
        </w:rPr>
        <w:t>apartat d’Organització i normativa</w:t>
      </w:r>
      <w:r w:rsidR="00906985">
        <w:rPr>
          <w:rFonts w:cs="Arial"/>
          <w:b/>
          <w:color w:val="000000" w:themeColor="text1"/>
        </w:rPr>
        <w:t xml:space="preserve"> (90’86)</w:t>
      </w:r>
      <w:r w:rsidR="000A09F1" w:rsidRPr="009A3B65">
        <w:rPr>
          <w:rFonts w:cs="Arial"/>
          <w:lang w:eastAsia="ca-ES"/>
        </w:rPr>
        <w:t xml:space="preserve"> </w:t>
      </w:r>
      <w:r>
        <w:rPr>
          <w:rFonts w:cs="Arial"/>
          <w:color w:val="000000" w:themeColor="text1"/>
          <w:lang w:eastAsia="ca-ES"/>
        </w:rPr>
        <w:t>é</w:t>
      </w:r>
      <w:r w:rsidR="00346808" w:rsidRPr="009A3B65">
        <w:rPr>
          <w:rFonts w:cs="Arial"/>
          <w:color w:val="000000" w:themeColor="text1"/>
          <w:lang w:eastAsia="ca-ES"/>
        </w:rPr>
        <w:t>s</w:t>
      </w:r>
      <w:r>
        <w:rPr>
          <w:rFonts w:cs="Arial"/>
          <w:color w:val="000000" w:themeColor="text1"/>
          <w:lang w:eastAsia="ca-ES"/>
        </w:rPr>
        <w:t xml:space="preserve"> pràcticament igual al de</w:t>
      </w:r>
      <w:r w:rsidR="006F1C9A" w:rsidRPr="009A3B65">
        <w:rPr>
          <w:rFonts w:cs="Arial"/>
          <w:color w:val="000000" w:themeColor="text1"/>
          <w:lang w:eastAsia="ca-ES"/>
        </w:rPr>
        <w:t xml:space="preserve"> la mitjana global</w:t>
      </w:r>
      <w:r w:rsidR="008D7348">
        <w:rPr>
          <w:rFonts w:cs="Arial"/>
          <w:color w:val="000000" w:themeColor="text1"/>
          <w:lang w:eastAsia="ca-ES"/>
        </w:rPr>
        <w:t>, i molt millor que l’</w:t>
      </w:r>
      <w:r w:rsidR="0012589B">
        <w:rPr>
          <w:rFonts w:cs="Arial"/>
          <w:color w:val="000000" w:themeColor="text1"/>
          <w:lang w:eastAsia="ca-ES"/>
        </w:rPr>
        <w:t>obtingut</w:t>
      </w:r>
      <w:r w:rsidR="008D7348">
        <w:rPr>
          <w:rFonts w:cs="Arial"/>
          <w:color w:val="000000" w:themeColor="text1"/>
          <w:lang w:eastAsia="ca-ES"/>
        </w:rPr>
        <w:t xml:space="preserve"> en l’avaluació anterior </w:t>
      </w:r>
      <w:r w:rsidRPr="009A3B65">
        <w:rPr>
          <w:rFonts w:cs="Arial"/>
          <w:color w:val="000000" w:themeColor="text1"/>
          <w:lang w:eastAsia="ca-ES"/>
        </w:rPr>
        <w:t>(</w:t>
      </w:r>
      <w:r w:rsidR="00906985">
        <w:rPr>
          <w:rFonts w:cs="Arial"/>
          <w:color w:val="000000" w:themeColor="text1"/>
          <w:lang w:eastAsia="ca-ES"/>
        </w:rPr>
        <w:t xml:space="preserve">que va ser </w:t>
      </w:r>
      <w:r w:rsidRPr="009A3B65">
        <w:rPr>
          <w:rFonts w:cs="Arial"/>
          <w:color w:val="000000" w:themeColor="text1"/>
          <w:lang w:eastAsia="ca-ES"/>
        </w:rPr>
        <w:t>85,63%)</w:t>
      </w:r>
      <w:r w:rsidR="00076591" w:rsidRPr="009A3B65">
        <w:rPr>
          <w:rFonts w:cs="Arial"/>
          <w:color w:val="000000" w:themeColor="text1"/>
          <w:lang w:eastAsia="ca-ES"/>
        </w:rPr>
        <w:t xml:space="preserve">. </w:t>
      </w:r>
      <w:r w:rsidR="008D7348">
        <w:rPr>
          <w:rFonts w:cs="Arial"/>
          <w:color w:val="000000" w:themeColor="text1"/>
          <w:lang w:eastAsia="ca-ES"/>
        </w:rPr>
        <w:t>Dintre d’aquest apartat, el pitjor resultat correspon al subapartat d’Actuacions administratives i jurídiques</w:t>
      </w:r>
      <w:r w:rsidR="0012589B">
        <w:rPr>
          <w:rFonts w:cs="Arial"/>
          <w:color w:val="000000" w:themeColor="text1"/>
          <w:lang w:eastAsia="ca-ES"/>
        </w:rPr>
        <w:t xml:space="preserve"> i, en concret als epígrafs d’</w:t>
      </w:r>
      <w:r w:rsidR="0012589B" w:rsidRPr="009A3B65">
        <w:rPr>
          <w:rFonts w:cs="Arial"/>
          <w:color w:val="000000" w:themeColor="text1"/>
          <w:lang w:eastAsia="ca-ES"/>
        </w:rPr>
        <w:t>Actes amb in</w:t>
      </w:r>
      <w:r w:rsidR="0012589B">
        <w:rPr>
          <w:rFonts w:cs="Arial"/>
          <w:color w:val="000000" w:themeColor="text1"/>
          <w:lang w:eastAsia="ca-ES"/>
        </w:rPr>
        <w:t>cidència sobre el domini públic,</w:t>
      </w:r>
      <w:r w:rsidR="0012589B" w:rsidRPr="009A3B65">
        <w:rPr>
          <w:rFonts w:cs="Arial"/>
          <w:color w:val="000000" w:themeColor="text1"/>
          <w:lang w:eastAsia="ca-ES"/>
        </w:rPr>
        <w:t xml:space="preserve"> Actes amb incidència sobre</w:t>
      </w:r>
      <w:r w:rsidR="0012589B">
        <w:rPr>
          <w:rFonts w:cs="Arial"/>
          <w:color w:val="000000" w:themeColor="text1"/>
          <w:lang w:eastAsia="ca-ES"/>
        </w:rPr>
        <w:t xml:space="preserve"> la gestió dels serveis públics,</w:t>
      </w:r>
      <w:r w:rsidR="0012589B" w:rsidRPr="009A3B65">
        <w:rPr>
          <w:rFonts w:cs="Arial"/>
          <w:color w:val="000000" w:themeColor="text1"/>
          <w:lang w:eastAsia="ca-ES"/>
        </w:rPr>
        <w:t xml:space="preserve"> Revisió d'actes administratius</w:t>
      </w:r>
      <w:r w:rsidR="0012589B">
        <w:rPr>
          <w:rFonts w:cs="Arial"/>
          <w:color w:val="000000" w:themeColor="text1"/>
          <w:lang w:eastAsia="ca-ES"/>
        </w:rPr>
        <w:t>,</w:t>
      </w:r>
      <w:r w:rsidR="0012589B" w:rsidRPr="009A3B65">
        <w:rPr>
          <w:rFonts w:cs="Arial"/>
          <w:color w:val="000000" w:themeColor="text1"/>
          <w:lang w:eastAsia="ca-ES"/>
        </w:rPr>
        <w:t xml:space="preserve"> i Resolucions administratives i judicials amb rellevància pública</w:t>
      </w:r>
      <w:r w:rsidR="0012589B">
        <w:rPr>
          <w:rFonts w:cs="Arial"/>
          <w:color w:val="000000" w:themeColor="text1"/>
          <w:lang w:eastAsia="ca-ES"/>
        </w:rPr>
        <w:t xml:space="preserve">. Aquests </w:t>
      </w:r>
      <w:r w:rsidR="00076591" w:rsidRPr="009A3B65">
        <w:rPr>
          <w:rFonts w:cs="Arial"/>
          <w:color w:val="000000" w:themeColor="text1"/>
          <w:lang w:eastAsia="ca-ES"/>
        </w:rPr>
        <w:t xml:space="preserve">epígrafs </w:t>
      </w:r>
      <w:r w:rsidR="0012589B">
        <w:rPr>
          <w:rFonts w:cs="Arial"/>
          <w:color w:val="000000" w:themeColor="text1"/>
          <w:lang w:eastAsia="ca-ES"/>
        </w:rPr>
        <w:t>són responsabilitat de</w:t>
      </w:r>
      <w:r w:rsidR="00B92923">
        <w:rPr>
          <w:rFonts w:cs="Arial"/>
          <w:color w:val="000000" w:themeColor="text1"/>
          <w:lang w:eastAsia="ca-ES"/>
        </w:rPr>
        <w:t xml:space="preserve"> tots els departaments</w:t>
      </w:r>
      <w:r w:rsidR="0012589B">
        <w:rPr>
          <w:rFonts w:cs="Arial"/>
          <w:color w:val="000000" w:themeColor="text1"/>
          <w:lang w:eastAsia="ca-ES"/>
        </w:rPr>
        <w:t xml:space="preserve"> </w:t>
      </w:r>
      <w:r w:rsidR="00B92923">
        <w:rPr>
          <w:rFonts w:cs="Arial"/>
          <w:color w:val="000000" w:themeColor="text1"/>
          <w:lang w:eastAsia="ca-ES"/>
        </w:rPr>
        <w:t>(</w:t>
      </w:r>
      <w:r w:rsidR="0012589B">
        <w:rPr>
          <w:rFonts w:cs="Arial"/>
          <w:color w:val="000000" w:themeColor="text1"/>
          <w:lang w:eastAsia="ca-ES"/>
        </w:rPr>
        <w:t>TOTS</w:t>
      </w:r>
      <w:r w:rsidR="00B92923">
        <w:rPr>
          <w:rFonts w:cs="Arial"/>
          <w:color w:val="000000" w:themeColor="text1"/>
          <w:lang w:eastAsia="ca-ES"/>
        </w:rPr>
        <w:t>)</w:t>
      </w:r>
      <w:r w:rsidR="00C4598B" w:rsidRPr="009A3B65">
        <w:rPr>
          <w:rFonts w:cs="Arial"/>
          <w:color w:val="000000" w:themeColor="text1"/>
          <w:lang w:eastAsia="ca-ES"/>
        </w:rPr>
        <w:t>.</w:t>
      </w:r>
    </w:p>
    <w:p w:rsidR="000816A7" w:rsidRPr="009A3B65" w:rsidRDefault="00CF7BEF" w:rsidP="000816A7">
      <w:pPr>
        <w:spacing w:before="120" w:after="120"/>
        <w:jc w:val="both"/>
        <w:rPr>
          <w:rFonts w:cs="Arial"/>
          <w:color w:val="000000" w:themeColor="text1"/>
          <w:lang w:eastAsia="ca-ES"/>
        </w:rPr>
      </w:pPr>
      <w:r w:rsidRPr="009A3B65">
        <w:rPr>
          <w:rFonts w:cs="Arial"/>
          <w:color w:val="000000" w:themeColor="text1"/>
          <w:lang w:eastAsia="ca-ES"/>
        </w:rPr>
        <w:t>Quant a l</w:t>
      </w:r>
      <w:r w:rsidR="00B35E4B" w:rsidRPr="009A3B65">
        <w:rPr>
          <w:rFonts w:cs="Arial"/>
          <w:color w:val="000000" w:themeColor="text1"/>
          <w:lang w:eastAsia="ca-ES"/>
        </w:rPr>
        <w:t>’</w:t>
      </w:r>
      <w:r w:rsidR="00B35E4B" w:rsidRPr="009A3B65">
        <w:rPr>
          <w:rFonts w:cs="Arial"/>
          <w:b/>
          <w:color w:val="000000" w:themeColor="text1"/>
          <w:lang w:eastAsia="ca-ES"/>
        </w:rPr>
        <w:t>apartat de Gestió dels serveis públics</w:t>
      </w:r>
      <w:r w:rsidRPr="009A3B65">
        <w:rPr>
          <w:rFonts w:cs="Arial"/>
          <w:color w:val="000000" w:themeColor="text1"/>
          <w:lang w:eastAsia="ca-ES"/>
        </w:rPr>
        <w:t xml:space="preserve">, </w:t>
      </w:r>
      <w:r w:rsidR="00906985">
        <w:rPr>
          <w:rFonts w:cs="Arial"/>
          <w:color w:val="000000" w:themeColor="text1"/>
          <w:lang w:eastAsia="ca-ES"/>
        </w:rPr>
        <w:t>a</w:t>
      </w:r>
      <w:r w:rsidR="000816A7" w:rsidRPr="009A3B65">
        <w:rPr>
          <w:rFonts w:cs="Arial"/>
          <w:color w:val="000000" w:themeColor="text1"/>
          <w:lang w:eastAsia="ca-ES"/>
        </w:rPr>
        <w:t xml:space="preserve">quest apartat obté una </w:t>
      </w:r>
      <w:r w:rsidR="00B70D0B">
        <w:rPr>
          <w:rFonts w:cs="Arial"/>
          <w:color w:val="000000" w:themeColor="text1"/>
          <w:lang w:eastAsia="ca-ES"/>
        </w:rPr>
        <w:t xml:space="preserve">de les </w:t>
      </w:r>
      <w:r w:rsidR="000816A7" w:rsidRPr="009A3B65">
        <w:rPr>
          <w:rFonts w:cs="Arial"/>
          <w:color w:val="000000" w:themeColor="text1"/>
          <w:lang w:eastAsia="ca-ES"/>
        </w:rPr>
        <w:t>puntuaci</w:t>
      </w:r>
      <w:r w:rsidR="00B70D0B">
        <w:rPr>
          <w:rFonts w:cs="Arial"/>
          <w:color w:val="000000" w:themeColor="text1"/>
          <w:lang w:eastAsia="ca-ES"/>
        </w:rPr>
        <w:t>ons</w:t>
      </w:r>
      <w:r w:rsidR="000816A7" w:rsidRPr="009A3B65">
        <w:rPr>
          <w:rFonts w:cs="Arial"/>
          <w:color w:val="000000" w:themeColor="text1"/>
          <w:lang w:eastAsia="ca-ES"/>
        </w:rPr>
        <w:t xml:space="preserve"> </w:t>
      </w:r>
      <w:r w:rsidR="00906985">
        <w:rPr>
          <w:rFonts w:cs="Arial"/>
          <w:color w:val="000000" w:themeColor="text1"/>
          <w:lang w:eastAsia="ca-ES"/>
        </w:rPr>
        <w:t>més</w:t>
      </w:r>
      <w:r w:rsidR="000816A7" w:rsidRPr="009A3B65">
        <w:rPr>
          <w:rFonts w:cs="Arial"/>
          <w:color w:val="000000" w:themeColor="text1"/>
          <w:lang w:eastAsia="ca-ES"/>
        </w:rPr>
        <w:t xml:space="preserve"> baix</w:t>
      </w:r>
      <w:r w:rsidR="00B70D0B">
        <w:rPr>
          <w:rFonts w:cs="Arial"/>
          <w:color w:val="000000" w:themeColor="text1"/>
          <w:lang w:eastAsia="ca-ES"/>
        </w:rPr>
        <w:t>es</w:t>
      </w:r>
      <w:r w:rsidR="00906985">
        <w:rPr>
          <w:rFonts w:cs="Arial"/>
          <w:color w:val="000000" w:themeColor="text1"/>
          <w:lang w:eastAsia="ca-ES"/>
        </w:rPr>
        <w:t xml:space="preserve"> (85’12%), però</w:t>
      </w:r>
      <w:r w:rsidR="00B70D0B">
        <w:rPr>
          <w:rFonts w:cs="Arial"/>
          <w:color w:val="000000" w:themeColor="text1"/>
          <w:lang w:eastAsia="ca-ES"/>
        </w:rPr>
        <w:t xml:space="preserve"> no obstant</w:t>
      </w:r>
      <w:r w:rsidR="00906985">
        <w:rPr>
          <w:rFonts w:cs="Arial"/>
          <w:color w:val="000000" w:themeColor="text1"/>
          <w:lang w:eastAsia="ca-ES"/>
        </w:rPr>
        <w:t xml:space="preserve"> bastant superior a la de l’any anterior</w:t>
      </w:r>
      <w:r w:rsidR="000816A7" w:rsidRPr="009A3B65">
        <w:rPr>
          <w:rFonts w:cs="Arial"/>
          <w:color w:val="000000" w:themeColor="text1"/>
          <w:lang w:eastAsia="ca-ES"/>
        </w:rPr>
        <w:t xml:space="preserve"> (80,63%)</w:t>
      </w:r>
      <w:r w:rsidR="00906985">
        <w:rPr>
          <w:rFonts w:cs="Arial"/>
          <w:color w:val="000000" w:themeColor="text1"/>
          <w:lang w:eastAsia="ca-ES"/>
        </w:rPr>
        <w:t>, cosa que indica que ha millorat força</w:t>
      </w:r>
      <w:r w:rsidR="000816A7" w:rsidRPr="009A3B65">
        <w:rPr>
          <w:rFonts w:cs="Arial"/>
          <w:color w:val="000000" w:themeColor="text1"/>
          <w:lang w:eastAsia="ca-ES"/>
        </w:rPr>
        <w:t>.</w:t>
      </w:r>
      <w:r w:rsidR="00906985">
        <w:rPr>
          <w:rFonts w:cs="Arial"/>
          <w:color w:val="000000" w:themeColor="text1"/>
          <w:lang w:eastAsia="ca-ES"/>
        </w:rPr>
        <w:t xml:space="preserve"> En aquest cas, els epígrafs que obtenen pitjor resultat són el d’</w:t>
      </w:r>
      <w:r w:rsidR="00906985" w:rsidRPr="009A3B65">
        <w:rPr>
          <w:rFonts w:cs="Arial"/>
          <w:color w:val="000000" w:themeColor="text1"/>
          <w:lang w:eastAsia="ca-ES"/>
        </w:rPr>
        <w:t>Auditoria dels serveis públics</w:t>
      </w:r>
      <w:r w:rsidR="006E5EBC">
        <w:rPr>
          <w:rFonts w:cs="Arial"/>
          <w:color w:val="000000" w:themeColor="text1"/>
          <w:lang w:eastAsia="ca-ES"/>
        </w:rPr>
        <w:t xml:space="preserve"> (responsabilitat</w:t>
      </w:r>
      <w:r w:rsidR="008A46C6">
        <w:rPr>
          <w:rFonts w:cs="Arial"/>
          <w:color w:val="000000" w:themeColor="text1"/>
          <w:lang w:eastAsia="ca-ES"/>
        </w:rPr>
        <w:t xml:space="preserve"> de</w:t>
      </w:r>
      <w:r w:rsidR="006E5EBC">
        <w:rPr>
          <w:rFonts w:cs="Arial"/>
          <w:color w:val="000000" w:themeColor="text1"/>
          <w:lang w:eastAsia="ca-ES"/>
        </w:rPr>
        <w:t xml:space="preserve"> TOTS)</w:t>
      </w:r>
      <w:r w:rsidR="00906985" w:rsidRPr="009A3B65">
        <w:rPr>
          <w:rFonts w:cs="Arial"/>
          <w:color w:val="000000" w:themeColor="text1"/>
          <w:lang w:eastAsia="ca-ES"/>
        </w:rPr>
        <w:t xml:space="preserve"> </w:t>
      </w:r>
      <w:r w:rsidR="00906985">
        <w:rPr>
          <w:rFonts w:cs="Arial"/>
          <w:color w:val="000000" w:themeColor="text1"/>
          <w:lang w:eastAsia="ca-ES"/>
        </w:rPr>
        <w:t>i el de Memòria sobre publicitat institucional</w:t>
      </w:r>
      <w:r w:rsidR="006E5EBC">
        <w:rPr>
          <w:rFonts w:cs="Arial"/>
          <w:color w:val="000000" w:themeColor="text1"/>
          <w:lang w:eastAsia="ca-ES"/>
        </w:rPr>
        <w:t xml:space="preserve"> (responsabilitat de VEH)</w:t>
      </w:r>
      <w:r w:rsidR="00906985">
        <w:rPr>
          <w:rFonts w:cs="Arial"/>
          <w:color w:val="000000" w:themeColor="text1"/>
          <w:lang w:eastAsia="ca-ES"/>
        </w:rPr>
        <w:t>.</w:t>
      </w:r>
    </w:p>
    <w:p w:rsidR="009D00B6" w:rsidRPr="009A3B65" w:rsidRDefault="00C04293" w:rsidP="00CA551F">
      <w:pPr>
        <w:spacing w:before="120" w:after="120"/>
        <w:jc w:val="both"/>
        <w:rPr>
          <w:rFonts w:cs="Arial"/>
          <w:color w:val="000000" w:themeColor="text1"/>
          <w:lang w:eastAsia="ca-ES"/>
        </w:rPr>
      </w:pPr>
      <w:r>
        <w:rPr>
          <w:rFonts w:cs="Arial"/>
          <w:color w:val="000000" w:themeColor="text1"/>
          <w:lang w:eastAsia="ca-ES"/>
        </w:rPr>
        <w:t>L</w:t>
      </w:r>
      <w:r w:rsidR="003E25A3" w:rsidRPr="009A3B65">
        <w:rPr>
          <w:rFonts w:cs="Arial"/>
          <w:color w:val="000000" w:themeColor="text1"/>
          <w:lang w:eastAsia="ca-ES"/>
        </w:rPr>
        <w:t>’</w:t>
      </w:r>
      <w:r w:rsidR="003E25A3" w:rsidRPr="009A3B65">
        <w:rPr>
          <w:rFonts w:cs="Arial"/>
          <w:b/>
          <w:color w:val="000000" w:themeColor="text1"/>
          <w:lang w:eastAsia="ca-ES"/>
        </w:rPr>
        <w:t>a</w:t>
      </w:r>
      <w:r w:rsidR="00C31ABA" w:rsidRPr="009A3B65">
        <w:rPr>
          <w:rFonts w:cs="Arial"/>
          <w:b/>
          <w:color w:val="000000" w:themeColor="text1"/>
          <w:lang w:eastAsia="ca-ES"/>
        </w:rPr>
        <w:t>partat</w:t>
      </w:r>
      <w:r w:rsidR="003E25A3" w:rsidRPr="009A3B65">
        <w:rPr>
          <w:rFonts w:cs="Arial"/>
          <w:b/>
          <w:color w:val="000000" w:themeColor="text1"/>
          <w:lang w:eastAsia="ca-ES"/>
        </w:rPr>
        <w:t xml:space="preserve"> de</w:t>
      </w:r>
      <w:r w:rsidR="00C31ABA" w:rsidRPr="009A3B65">
        <w:rPr>
          <w:rFonts w:cs="Arial"/>
          <w:b/>
          <w:color w:val="000000" w:themeColor="text1"/>
          <w:lang w:eastAsia="ca-ES"/>
        </w:rPr>
        <w:t xml:space="preserve"> Funció pública</w:t>
      </w:r>
      <w:r w:rsidR="003E25A3" w:rsidRPr="009A3B65">
        <w:rPr>
          <w:rFonts w:cs="Arial"/>
          <w:b/>
          <w:color w:val="000000" w:themeColor="text1"/>
          <w:lang w:eastAsia="ca-ES"/>
        </w:rPr>
        <w:t xml:space="preserve"> </w:t>
      </w:r>
      <w:r w:rsidR="003E25A3" w:rsidRPr="009A3B65">
        <w:rPr>
          <w:rFonts w:cs="Arial"/>
          <w:color w:val="000000" w:themeColor="text1"/>
          <w:lang w:eastAsia="ca-ES"/>
        </w:rPr>
        <w:t>és responsabilitat</w:t>
      </w:r>
      <w:r>
        <w:rPr>
          <w:rFonts w:cs="Arial"/>
          <w:color w:val="000000" w:themeColor="text1"/>
          <w:lang w:eastAsia="ca-ES"/>
        </w:rPr>
        <w:t xml:space="preserve"> íntegrament</w:t>
      </w:r>
      <w:r w:rsidR="003E25A3" w:rsidRPr="009A3B65">
        <w:rPr>
          <w:rFonts w:cs="Arial"/>
          <w:color w:val="000000" w:themeColor="text1"/>
          <w:lang w:eastAsia="ca-ES"/>
        </w:rPr>
        <w:t xml:space="preserve"> de PDA</w:t>
      </w:r>
      <w:r w:rsidR="006A3059" w:rsidRPr="009A3B65">
        <w:rPr>
          <w:rFonts w:cs="Arial"/>
          <w:color w:val="000000" w:themeColor="text1"/>
          <w:lang w:eastAsia="ca-ES"/>
        </w:rPr>
        <w:t xml:space="preserve">. </w:t>
      </w:r>
      <w:r w:rsidR="009D00B6" w:rsidRPr="009A3B65">
        <w:rPr>
          <w:rFonts w:cs="Arial"/>
          <w:color w:val="000000" w:themeColor="text1"/>
          <w:lang w:eastAsia="ca-ES"/>
        </w:rPr>
        <w:t>Aquest apartat obté un resultat</w:t>
      </w:r>
      <w:r>
        <w:rPr>
          <w:rFonts w:cs="Arial"/>
          <w:color w:val="000000" w:themeColor="text1"/>
          <w:lang w:eastAsia="ca-ES"/>
        </w:rPr>
        <w:t xml:space="preserve"> molt bo (97’08%).</w:t>
      </w:r>
      <w:r w:rsidR="009D00B6" w:rsidRPr="009A3B65">
        <w:rPr>
          <w:rFonts w:cs="Arial"/>
          <w:color w:val="000000" w:themeColor="text1"/>
          <w:lang w:eastAsia="ca-ES"/>
        </w:rPr>
        <w:t xml:space="preserve"> </w:t>
      </w:r>
      <w:r>
        <w:rPr>
          <w:rFonts w:cs="Arial"/>
          <w:color w:val="000000" w:themeColor="text1"/>
          <w:lang w:eastAsia="ca-ES"/>
        </w:rPr>
        <w:t>Aquí, el pitjor resultat correspon a l’epígraf Alumnes admesos a les activitats formatives.</w:t>
      </w:r>
    </w:p>
    <w:p w:rsidR="008A46C6" w:rsidRDefault="00AA037C" w:rsidP="008A46C6">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BE470C">
        <w:rPr>
          <w:rFonts w:cs="Arial"/>
          <w:b/>
          <w:color w:val="000000" w:themeColor="text1"/>
          <w:lang w:eastAsia="ca-ES"/>
        </w:rPr>
        <w:t>d’</w:t>
      </w:r>
      <w:r w:rsidR="00C31ABA" w:rsidRPr="009A3B65">
        <w:rPr>
          <w:rFonts w:cs="Arial"/>
          <w:b/>
          <w:color w:val="000000" w:themeColor="text1"/>
          <w:lang w:eastAsia="ca-ES"/>
        </w:rPr>
        <w:t>Economia i finances</w:t>
      </w:r>
      <w:r w:rsidRPr="009A3B65">
        <w:rPr>
          <w:rFonts w:cs="Arial"/>
          <w:b/>
          <w:color w:val="000000" w:themeColor="text1"/>
          <w:lang w:eastAsia="ca-ES"/>
        </w:rPr>
        <w:t xml:space="preserve"> </w:t>
      </w:r>
      <w:r w:rsidRPr="009A3B65">
        <w:rPr>
          <w:rFonts w:cs="Arial"/>
          <w:color w:val="000000" w:themeColor="text1"/>
          <w:lang w:eastAsia="ca-ES"/>
        </w:rPr>
        <w:t xml:space="preserve">és </w:t>
      </w:r>
      <w:r w:rsidR="00961504">
        <w:rPr>
          <w:rFonts w:cs="Arial"/>
          <w:color w:val="000000" w:themeColor="text1"/>
          <w:lang w:eastAsia="ca-ES"/>
        </w:rPr>
        <w:t xml:space="preserve">el que pitjor resultat obté (84’70%) i és inferior al de l’avaluació anterior </w:t>
      </w:r>
      <w:r w:rsidR="00961504" w:rsidRPr="009A3B65">
        <w:rPr>
          <w:rFonts w:cs="Arial"/>
          <w:color w:val="000000" w:themeColor="text1"/>
          <w:lang w:eastAsia="ca-ES"/>
        </w:rPr>
        <w:t>(88,54%)</w:t>
      </w:r>
      <w:r w:rsidR="00961504">
        <w:rPr>
          <w:rFonts w:cs="Arial"/>
          <w:color w:val="000000" w:themeColor="text1"/>
          <w:lang w:eastAsia="ca-ES"/>
        </w:rPr>
        <w:t>, per tant, ha empitjorat.</w:t>
      </w:r>
      <w:r w:rsidR="00D157FE">
        <w:rPr>
          <w:rFonts w:cs="Arial"/>
          <w:color w:val="000000" w:themeColor="text1"/>
          <w:lang w:eastAsia="ca-ES"/>
        </w:rPr>
        <w:t xml:space="preserve"> El resultat més baix correspon a</w:t>
      </w:r>
      <w:r w:rsidR="008A46C6">
        <w:rPr>
          <w:rFonts w:cs="Arial"/>
          <w:color w:val="000000" w:themeColor="text1"/>
          <w:lang w:eastAsia="ca-ES"/>
        </w:rPr>
        <w:t>l subapartat de Subvencions i ajuts i, en concret,</w:t>
      </w:r>
      <w:r w:rsidR="00D157FE">
        <w:rPr>
          <w:rFonts w:cs="Arial"/>
          <w:color w:val="000000" w:themeColor="text1"/>
          <w:lang w:eastAsia="ca-ES"/>
        </w:rPr>
        <w:t xml:space="preserve"> l’epígraf de Subvencions i ajuts previstos</w:t>
      </w:r>
      <w:r w:rsidR="00961504">
        <w:rPr>
          <w:rFonts w:cs="Arial"/>
          <w:color w:val="000000" w:themeColor="text1"/>
          <w:lang w:eastAsia="ca-ES"/>
        </w:rPr>
        <w:t xml:space="preserve"> (</w:t>
      </w:r>
      <w:r w:rsidRPr="009A3B65">
        <w:rPr>
          <w:rFonts w:cs="Arial"/>
          <w:color w:val="000000" w:themeColor="text1"/>
          <w:lang w:eastAsia="ca-ES"/>
        </w:rPr>
        <w:t xml:space="preserve">responsabilitat de </w:t>
      </w:r>
      <w:r w:rsidR="008A46C6">
        <w:rPr>
          <w:rFonts w:cs="Arial"/>
          <w:color w:val="000000" w:themeColor="text1"/>
          <w:lang w:eastAsia="ca-ES"/>
        </w:rPr>
        <w:t>TOTS).</w:t>
      </w:r>
      <w:r w:rsidR="005F621D">
        <w:rPr>
          <w:rFonts w:cs="Arial"/>
          <w:color w:val="000000" w:themeColor="text1"/>
          <w:lang w:eastAsia="ca-ES"/>
        </w:rPr>
        <w:t xml:space="preserve"> No obstant això, </w:t>
      </w:r>
      <w:r w:rsidR="005F621D">
        <w:rPr>
          <w:rFonts w:cs="Arial"/>
          <w:color w:val="000000" w:themeColor="text1"/>
          <w:lang w:eastAsia="ca-ES"/>
        </w:rPr>
        <w:t>d’acord amb el criteris aprovats per la CITGO en reunió de data 24 de maig passat,</w:t>
      </w:r>
      <w:r w:rsidR="005F621D">
        <w:rPr>
          <w:rFonts w:cs="Arial"/>
          <w:color w:val="000000" w:themeColor="text1"/>
          <w:lang w:eastAsia="ca-ES"/>
        </w:rPr>
        <w:t xml:space="preserve"> aquesta informació s’ha de presentar mitjançant el Registre d’Ajuts i Subvencions de Catalunya (RAISC), cosa que de fet ja es fa i que farà augmentar el resultat en les avaluacions següents.</w:t>
      </w:r>
    </w:p>
    <w:p w:rsidR="00C31ABA" w:rsidRPr="009A3B65" w:rsidRDefault="00F6128A"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Patrimoni</w:t>
      </w:r>
      <w:r w:rsidRPr="009A3B65">
        <w:rPr>
          <w:rFonts w:cs="Arial"/>
          <w:b/>
          <w:color w:val="000000" w:themeColor="text1"/>
          <w:lang w:eastAsia="ca-ES"/>
        </w:rPr>
        <w:t xml:space="preserve"> </w:t>
      </w:r>
      <w:r w:rsidR="00FF01F6" w:rsidRPr="009A3B65">
        <w:rPr>
          <w:rFonts w:cs="Arial"/>
          <w:color w:val="000000" w:themeColor="text1"/>
          <w:lang w:eastAsia="ca-ES"/>
        </w:rPr>
        <w:t xml:space="preserve">sencer </w:t>
      </w:r>
      <w:r w:rsidRPr="009A3B65">
        <w:rPr>
          <w:rFonts w:cs="Arial"/>
          <w:color w:val="000000" w:themeColor="text1"/>
          <w:lang w:eastAsia="ca-ES"/>
        </w:rPr>
        <w:t>es responsabilitat de VEH.</w:t>
      </w:r>
      <w:r w:rsidR="009C5F53" w:rsidRPr="009A3B65">
        <w:rPr>
          <w:rFonts w:cs="Arial"/>
          <w:color w:val="000000" w:themeColor="text1"/>
          <w:lang w:eastAsia="ca-ES"/>
        </w:rPr>
        <w:t xml:space="preserve"> Aquest apartat</w:t>
      </w:r>
      <w:r w:rsidR="00220885">
        <w:rPr>
          <w:rFonts w:cs="Arial"/>
          <w:color w:val="000000" w:themeColor="text1"/>
          <w:lang w:eastAsia="ca-ES"/>
        </w:rPr>
        <w:t xml:space="preserve"> obté un resultat proper a la mitjana (88’75%), però força inferior al que va obtindré l’any anterior</w:t>
      </w:r>
      <w:r w:rsidR="009C5F53" w:rsidRPr="009A3B65">
        <w:rPr>
          <w:rFonts w:cs="Arial"/>
          <w:color w:val="000000" w:themeColor="text1"/>
          <w:lang w:eastAsia="ca-ES"/>
        </w:rPr>
        <w:t xml:space="preserve"> (98,25%)</w:t>
      </w:r>
      <w:r w:rsidR="00220885">
        <w:rPr>
          <w:rFonts w:cs="Arial"/>
          <w:color w:val="000000" w:themeColor="text1"/>
          <w:lang w:eastAsia="ca-ES"/>
        </w:rPr>
        <w:t xml:space="preserve">, gairebé 10 punts </w:t>
      </w:r>
      <w:r w:rsidR="0083548B">
        <w:rPr>
          <w:rFonts w:cs="Arial"/>
          <w:color w:val="000000" w:themeColor="text1"/>
          <w:lang w:eastAsia="ca-ES"/>
        </w:rPr>
        <w:t>percentuals</w:t>
      </w:r>
      <w:r w:rsidR="009C5F53" w:rsidRPr="009A3B65">
        <w:rPr>
          <w:rFonts w:cs="Arial"/>
          <w:color w:val="000000" w:themeColor="text1"/>
          <w:lang w:eastAsia="ca-ES"/>
        </w:rPr>
        <w:t xml:space="preserve">. Cal indicar que de fet només en té </w:t>
      </w:r>
      <w:r w:rsidR="00981DE8" w:rsidRPr="009A3B65">
        <w:rPr>
          <w:rFonts w:cs="Arial"/>
          <w:color w:val="000000" w:themeColor="text1"/>
          <w:lang w:eastAsia="ca-ES"/>
        </w:rPr>
        <w:t>cinc</w:t>
      </w:r>
      <w:r w:rsidR="009C5F53" w:rsidRPr="009A3B65">
        <w:rPr>
          <w:rFonts w:cs="Arial"/>
          <w:color w:val="000000" w:themeColor="text1"/>
          <w:lang w:eastAsia="ca-ES"/>
        </w:rPr>
        <w:t xml:space="preserve"> epígrafs.</w:t>
      </w:r>
    </w:p>
    <w:p w:rsidR="0083548B" w:rsidRDefault="00F6128A"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ap</w:t>
      </w:r>
      <w:r w:rsidR="00C31ABA" w:rsidRPr="009A3B65">
        <w:rPr>
          <w:rFonts w:cs="Arial"/>
          <w:b/>
          <w:color w:val="000000" w:themeColor="text1"/>
          <w:lang w:eastAsia="ca-ES"/>
        </w:rPr>
        <w:t xml:space="preserve">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Contractació</w:t>
      </w:r>
      <w:r w:rsidRPr="009A3B65">
        <w:rPr>
          <w:rFonts w:cs="Arial"/>
          <w:b/>
          <w:color w:val="000000" w:themeColor="text1"/>
          <w:lang w:eastAsia="ca-ES"/>
        </w:rPr>
        <w:t xml:space="preserve"> </w:t>
      </w:r>
      <w:r w:rsidRPr="009A3B65">
        <w:rPr>
          <w:rFonts w:cs="Arial"/>
          <w:color w:val="000000" w:themeColor="text1"/>
          <w:lang w:eastAsia="ca-ES"/>
        </w:rPr>
        <w:t>es el més extens de tots</w:t>
      </w:r>
      <w:r w:rsidR="00836E2A" w:rsidRPr="009A3B65">
        <w:rPr>
          <w:rFonts w:cs="Arial"/>
          <w:color w:val="000000" w:themeColor="text1"/>
          <w:lang w:eastAsia="ca-ES"/>
        </w:rPr>
        <w:t xml:space="preserve"> (el que té més epígrafs)</w:t>
      </w:r>
      <w:r w:rsidRPr="009A3B65">
        <w:rPr>
          <w:rFonts w:cs="Arial"/>
          <w:color w:val="000000" w:themeColor="text1"/>
          <w:lang w:eastAsia="ca-ES"/>
        </w:rPr>
        <w:t xml:space="preserve"> i</w:t>
      </w:r>
      <w:r w:rsidR="00220885">
        <w:rPr>
          <w:rFonts w:cs="Arial"/>
          <w:color w:val="000000" w:themeColor="text1"/>
          <w:lang w:eastAsia="ca-ES"/>
        </w:rPr>
        <w:t xml:space="preserve"> és el que obté millor puntuació (97’25%)</w:t>
      </w:r>
      <w:r w:rsidR="0083548B">
        <w:rPr>
          <w:rFonts w:cs="Arial"/>
          <w:color w:val="000000" w:themeColor="text1"/>
          <w:lang w:eastAsia="ca-ES"/>
        </w:rPr>
        <w:t>. Els pitjors resultats corresponen als epígrafs de Resolucions judicials, Altres convenis, Memòries corporatives, Informació genèrica per a les contractacions, i la de Modificacions, reformes, pròrrogues i complementaris dels contractes d’obres.</w:t>
      </w:r>
    </w:p>
    <w:p w:rsidR="00C31ABA" w:rsidRPr="009A3B65" w:rsidRDefault="00A11AAE"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Territori</w:t>
      </w:r>
      <w:r w:rsidRPr="009A3B65">
        <w:rPr>
          <w:rFonts w:cs="Arial"/>
          <w:b/>
          <w:color w:val="000000" w:themeColor="text1"/>
          <w:lang w:eastAsia="ca-ES"/>
        </w:rPr>
        <w:t xml:space="preserve"> </w:t>
      </w:r>
      <w:r w:rsidR="00501343">
        <w:rPr>
          <w:rFonts w:cs="Arial"/>
          <w:color w:val="000000" w:themeColor="text1"/>
          <w:lang w:eastAsia="ca-ES"/>
        </w:rPr>
        <w:t>obté un res</w:t>
      </w:r>
      <w:r w:rsidR="00501343" w:rsidRPr="009A3B65">
        <w:rPr>
          <w:rFonts w:cs="Arial"/>
          <w:color w:val="000000" w:themeColor="text1"/>
          <w:lang w:eastAsia="ca-ES"/>
        </w:rPr>
        <w:t xml:space="preserve">ultat </w:t>
      </w:r>
      <w:r w:rsidR="00501343">
        <w:rPr>
          <w:rFonts w:cs="Arial"/>
          <w:color w:val="000000" w:themeColor="text1"/>
          <w:lang w:eastAsia="ca-ES"/>
        </w:rPr>
        <w:t xml:space="preserve">semblant a la mitjana (90’29%) </w:t>
      </w:r>
      <w:r w:rsidR="00205A92">
        <w:rPr>
          <w:rFonts w:cs="Arial"/>
          <w:color w:val="000000" w:themeColor="text1"/>
          <w:lang w:eastAsia="ca-ES"/>
        </w:rPr>
        <w:t>i millora el resultat assolit l’any anterior</w:t>
      </w:r>
      <w:r w:rsidR="00501343" w:rsidRPr="009A3B65">
        <w:rPr>
          <w:rFonts w:cs="Arial"/>
          <w:color w:val="000000" w:themeColor="text1"/>
          <w:lang w:eastAsia="ca-ES"/>
        </w:rPr>
        <w:t xml:space="preserve"> (88,72%). </w:t>
      </w:r>
      <w:r w:rsidR="00205A92">
        <w:rPr>
          <w:rFonts w:cs="Arial"/>
          <w:color w:val="000000" w:themeColor="text1"/>
          <w:lang w:eastAsia="ca-ES"/>
        </w:rPr>
        <w:t>El pitjor resultat enguany correspon a l’epígraf de Plans territorials sectorials (responsabilitat de TOTS) i als epígrafs de Bases cartogràfiques, Serveis web geogràfics, i Visors i aplicacions</w:t>
      </w:r>
      <w:r w:rsidR="00DA05CB">
        <w:rPr>
          <w:rFonts w:cs="Arial"/>
          <w:color w:val="000000" w:themeColor="text1"/>
          <w:lang w:eastAsia="ca-ES"/>
        </w:rPr>
        <w:t xml:space="preserve"> (també responsabilitat de TOTS)</w:t>
      </w:r>
      <w:r w:rsidRPr="009A3B65">
        <w:rPr>
          <w:rFonts w:cs="Arial"/>
          <w:color w:val="000000" w:themeColor="text1"/>
          <w:lang w:eastAsia="ca-ES"/>
        </w:rPr>
        <w:t>.</w:t>
      </w:r>
    </w:p>
    <w:p w:rsidR="00CE086D" w:rsidRPr="009A3B65" w:rsidRDefault="00C36381" w:rsidP="00CA551F">
      <w:pPr>
        <w:spacing w:before="120" w:after="120"/>
        <w:jc w:val="both"/>
        <w:rPr>
          <w:rFonts w:cs="Arial"/>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Govern</w:t>
      </w:r>
      <w:r w:rsidRPr="009A3B65">
        <w:rPr>
          <w:rFonts w:cs="Arial"/>
          <w:b/>
          <w:color w:val="000000" w:themeColor="text1"/>
          <w:lang w:eastAsia="ca-ES"/>
        </w:rPr>
        <w:t xml:space="preserve"> </w:t>
      </w:r>
      <w:r w:rsidR="00D57E07">
        <w:rPr>
          <w:rFonts w:cs="Arial"/>
          <w:color w:val="000000" w:themeColor="text1"/>
          <w:lang w:eastAsia="ca-ES"/>
        </w:rPr>
        <w:t>obté un resultat per sobre la mitjana (93’67), encara que inferior a l’obtingut l’any anterior</w:t>
      </w:r>
      <w:r w:rsidR="00CE086D" w:rsidRPr="009A3B65">
        <w:rPr>
          <w:rFonts w:cs="Arial"/>
          <w:color w:val="000000" w:themeColor="text1"/>
          <w:lang w:eastAsia="ca-ES"/>
        </w:rPr>
        <w:t xml:space="preserve"> (97%)</w:t>
      </w:r>
      <w:r w:rsidR="00536525" w:rsidRPr="009A3B65">
        <w:rPr>
          <w:rFonts w:cs="Arial"/>
          <w:color w:val="000000" w:themeColor="text1"/>
          <w:lang w:eastAsia="ca-ES"/>
        </w:rPr>
        <w:t>.</w:t>
      </w:r>
    </w:p>
    <w:p w:rsidR="00F0757D" w:rsidRDefault="00F0757D" w:rsidP="00CA551F">
      <w:pPr>
        <w:pStyle w:val="Ttol2"/>
        <w:spacing w:before="120" w:after="120" w:line="240" w:lineRule="auto"/>
        <w:jc w:val="both"/>
        <w:rPr>
          <w:rFonts w:ascii="Arial" w:hAnsi="Arial" w:cs="Arial"/>
          <w:lang w:eastAsia="ca-ES"/>
        </w:rPr>
      </w:pPr>
      <w:bookmarkStart w:id="47" w:name="_Toc442864033"/>
    </w:p>
    <w:p w:rsidR="00775613" w:rsidRPr="009A3B65" w:rsidRDefault="004337B0" w:rsidP="00CA551F">
      <w:pPr>
        <w:pStyle w:val="Ttol2"/>
        <w:spacing w:before="120" w:after="120" w:line="240" w:lineRule="auto"/>
        <w:jc w:val="both"/>
        <w:rPr>
          <w:rFonts w:ascii="Arial" w:hAnsi="Arial" w:cs="Arial"/>
          <w:lang w:eastAsia="ca-ES"/>
        </w:rPr>
      </w:pPr>
      <w:bookmarkStart w:id="48" w:name="_Toc14780377"/>
      <w:r>
        <w:rPr>
          <w:rFonts w:ascii="Arial" w:hAnsi="Arial" w:cs="Arial"/>
          <w:lang w:eastAsia="ca-ES"/>
        </w:rPr>
        <w:t>5.3</w:t>
      </w:r>
      <w:r w:rsidR="00775613" w:rsidRPr="009A3B65">
        <w:rPr>
          <w:rFonts w:ascii="Arial" w:hAnsi="Arial" w:cs="Arial"/>
          <w:lang w:eastAsia="ca-ES"/>
        </w:rPr>
        <w:t xml:space="preserve"> Resultats en funció dels indicadors</w:t>
      </w:r>
      <w:bookmarkEnd w:id="47"/>
      <w:bookmarkEnd w:id="48"/>
    </w:p>
    <w:p w:rsidR="0054175B" w:rsidRDefault="0054175B" w:rsidP="006E2860">
      <w:pPr>
        <w:spacing w:before="120" w:after="120"/>
        <w:jc w:val="both"/>
        <w:rPr>
          <w:rFonts w:cs="Arial"/>
        </w:rPr>
      </w:pPr>
      <w:r>
        <w:rPr>
          <w:rFonts w:cs="Arial"/>
        </w:rPr>
        <w:t>Els resultats assolits mostren</w:t>
      </w:r>
      <w:r w:rsidR="00497249">
        <w:rPr>
          <w:rFonts w:cs="Arial"/>
        </w:rPr>
        <w:t xml:space="preserve"> bàsicament</w:t>
      </w:r>
      <w:r>
        <w:rPr>
          <w:rFonts w:cs="Arial"/>
        </w:rPr>
        <w:t xml:space="preserve"> la mateixa tendència que la de l’any anterior.</w:t>
      </w:r>
    </w:p>
    <w:p w:rsidR="006E2860" w:rsidRDefault="006E2860" w:rsidP="006E2860">
      <w:pPr>
        <w:spacing w:before="120" w:after="120"/>
        <w:jc w:val="both"/>
        <w:rPr>
          <w:rFonts w:cs="Arial"/>
        </w:rPr>
      </w:pPr>
      <w:r w:rsidRPr="009A3B65">
        <w:rPr>
          <w:rFonts w:cs="Arial"/>
        </w:rPr>
        <w:t xml:space="preserve">En el gràfic següent, es mostra el grau de compliment de </w:t>
      </w:r>
      <w:r w:rsidR="000B2B73">
        <w:rPr>
          <w:rFonts w:cs="Arial"/>
        </w:rPr>
        <w:t xml:space="preserve">les obligacions de transparència en funció de </w:t>
      </w:r>
      <w:r w:rsidRPr="009A3B65">
        <w:rPr>
          <w:rFonts w:cs="Arial"/>
        </w:rPr>
        <w:t xml:space="preserve">cadascun dels </w:t>
      </w:r>
      <w:r w:rsidR="000B2B73">
        <w:rPr>
          <w:rFonts w:cs="Arial"/>
        </w:rPr>
        <w:t>indicadors del model d’avaluació</w:t>
      </w:r>
      <w:r w:rsidRPr="009A3B65">
        <w:rPr>
          <w:rFonts w:cs="Arial"/>
        </w:rPr>
        <w:t>.</w:t>
      </w:r>
    </w:p>
    <w:p w:rsidR="006E2860" w:rsidRDefault="006E2860" w:rsidP="00CA551F">
      <w:pPr>
        <w:spacing w:before="120" w:after="120"/>
        <w:jc w:val="both"/>
        <w:rPr>
          <w:rFonts w:cs="Arial"/>
          <w:lang w:eastAsia="ca-ES"/>
        </w:rPr>
      </w:pPr>
    </w:p>
    <w:p w:rsidR="00F338F1" w:rsidRDefault="00F338F1" w:rsidP="00CA551F">
      <w:pPr>
        <w:spacing w:before="120" w:after="120"/>
        <w:jc w:val="both"/>
        <w:rPr>
          <w:rFonts w:cs="Arial"/>
          <w:lang w:eastAsia="ca-ES"/>
        </w:rPr>
      </w:pPr>
      <w:r>
        <w:rPr>
          <w:rFonts w:cs="Arial"/>
          <w:b/>
        </w:rPr>
        <w:t xml:space="preserve">Gràfic </w:t>
      </w:r>
      <w:r w:rsidR="006C6DFE">
        <w:rPr>
          <w:rFonts w:cs="Arial"/>
          <w:b/>
        </w:rPr>
        <w:t>7</w:t>
      </w:r>
      <w:r>
        <w:rPr>
          <w:rFonts w:cs="Arial"/>
          <w:b/>
        </w:rPr>
        <w:t xml:space="preserve">. </w:t>
      </w:r>
      <w:r w:rsidRPr="009B7A5E">
        <w:rPr>
          <w:rFonts w:cs="Arial"/>
          <w:b/>
        </w:rPr>
        <w:t xml:space="preserve">Resultats per </w:t>
      </w:r>
      <w:r w:rsidR="00184C6B">
        <w:rPr>
          <w:rFonts w:cs="Arial"/>
          <w:b/>
        </w:rPr>
        <w:t>indicadors</w:t>
      </w:r>
      <w:r w:rsidRPr="009B7A5E">
        <w:rPr>
          <w:rFonts w:cs="Arial"/>
          <w:b/>
        </w:rPr>
        <w:t xml:space="preserve"> del Portal de la Transparència</w:t>
      </w:r>
      <w:r>
        <w:rPr>
          <w:rFonts w:cs="Arial"/>
          <w:b/>
        </w:rPr>
        <w:t xml:space="preserve"> i comparació amb </w:t>
      </w:r>
      <w:r w:rsidR="00184C6B">
        <w:rPr>
          <w:rFonts w:cs="Arial"/>
          <w:b/>
        </w:rPr>
        <w:t>l’</w:t>
      </w:r>
      <w:r>
        <w:rPr>
          <w:rFonts w:cs="Arial"/>
          <w:b/>
        </w:rPr>
        <w:t>avaluació anterior</w:t>
      </w:r>
    </w:p>
    <w:p w:rsidR="004B1FD2" w:rsidRPr="009A3B65" w:rsidRDefault="004B1FD2" w:rsidP="00CA551F">
      <w:pPr>
        <w:spacing w:before="120" w:after="120"/>
        <w:jc w:val="both"/>
        <w:rPr>
          <w:rFonts w:cs="Arial"/>
          <w:color w:val="FF0000"/>
          <w:lang w:eastAsia="ca-ES"/>
        </w:rPr>
      </w:pPr>
      <w:r>
        <w:rPr>
          <w:noProof/>
          <w:lang w:eastAsia="ca-ES"/>
        </w:rPr>
        <w:drawing>
          <wp:inline distT="0" distB="0" distL="0" distR="0" wp14:anchorId="5098EFD2" wp14:editId="124C71B3">
            <wp:extent cx="4572000" cy="2743200"/>
            <wp:effectExtent l="0" t="0" r="0" b="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5613" w:rsidRPr="009A3B65" w:rsidRDefault="00775613" w:rsidP="00A85388">
      <w:pPr>
        <w:spacing w:before="120" w:after="120"/>
        <w:jc w:val="center"/>
        <w:rPr>
          <w:rFonts w:cs="Arial"/>
          <w:lang w:eastAsia="ca-ES"/>
        </w:rPr>
      </w:pPr>
    </w:p>
    <w:p w:rsidR="0071522B" w:rsidRPr="009A3B65" w:rsidRDefault="0025414E" w:rsidP="00CA551F">
      <w:pPr>
        <w:spacing w:before="120" w:after="120"/>
        <w:jc w:val="both"/>
        <w:rPr>
          <w:rFonts w:cs="Arial"/>
          <w:lang w:eastAsia="ca-ES"/>
        </w:rPr>
      </w:pPr>
      <w:r w:rsidRPr="009A3B65">
        <w:rPr>
          <w:rFonts w:cs="Arial"/>
          <w:lang w:eastAsia="ca-ES"/>
        </w:rPr>
        <w:t>L’</w:t>
      </w:r>
      <w:r w:rsidRPr="009A3B65">
        <w:rPr>
          <w:rFonts w:cs="Arial"/>
          <w:b/>
          <w:lang w:eastAsia="ca-ES"/>
        </w:rPr>
        <w:t>indic</w:t>
      </w:r>
      <w:r w:rsidR="00771A6A" w:rsidRPr="009A3B65">
        <w:rPr>
          <w:rFonts w:cs="Arial"/>
          <w:b/>
          <w:lang w:eastAsia="ca-ES"/>
        </w:rPr>
        <w:t>ador</w:t>
      </w:r>
      <w:r w:rsidRPr="009A3B65">
        <w:rPr>
          <w:rFonts w:cs="Arial"/>
          <w:b/>
          <w:lang w:eastAsia="ca-ES"/>
        </w:rPr>
        <w:t xml:space="preserve"> Presentació</w:t>
      </w:r>
      <w:r w:rsidR="00775613" w:rsidRPr="009A3B65">
        <w:rPr>
          <w:rFonts w:cs="Arial"/>
          <w:b/>
          <w:lang w:eastAsia="ca-ES"/>
        </w:rPr>
        <w:t xml:space="preserve"> </w:t>
      </w:r>
      <w:r w:rsidR="00775613" w:rsidRPr="009A3B65">
        <w:rPr>
          <w:rFonts w:cs="Arial"/>
          <w:lang w:eastAsia="ca-ES"/>
        </w:rPr>
        <w:t>obté un grau de compliment</w:t>
      </w:r>
      <w:r w:rsidR="00034826" w:rsidRPr="009A3B65">
        <w:rPr>
          <w:rFonts w:cs="Arial"/>
          <w:lang w:eastAsia="ca-ES"/>
        </w:rPr>
        <w:t xml:space="preserve"> total</w:t>
      </w:r>
      <w:r w:rsidR="00D24FEF">
        <w:rPr>
          <w:rFonts w:cs="Arial"/>
          <w:lang w:eastAsia="ca-ES"/>
        </w:rPr>
        <w:t xml:space="preserve"> elevat</w:t>
      </w:r>
      <w:r w:rsidR="00600C5E">
        <w:rPr>
          <w:rFonts w:cs="Arial"/>
          <w:lang w:eastAsia="ca-ES"/>
        </w:rPr>
        <w:t>, per sobre de la mitjana (que és 90’97%) i superior a l’obtingut en l’avaluació anterior, per tant, ha millorat.</w:t>
      </w:r>
      <w:r w:rsidR="00775613" w:rsidRPr="009A3B65">
        <w:rPr>
          <w:rFonts w:cs="Arial"/>
          <w:lang w:eastAsia="ca-ES"/>
        </w:rPr>
        <w:t xml:space="preserve"> </w:t>
      </w:r>
      <w:r w:rsidR="00E779AC">
        <w:rPr>
          <w:rFonts w:cs="Arial"/>
          <w:lang w:eastAsia="ca-ES"/>
        </w:rPr>
        <w:t xml:space="preserve">Els pitjors resultats corresponen als epígrafs d’Actes amb incidència sobre el domini públic, Actes amb incidència sobre la gestió dels serveis públics i Revisió d’actes administratius. També són baixos els resultats en els epígrafs de Subvencions i ajuts previstos, Estudis de polítiques públiques i d’anàlisi comparada, i Resolucions administratives i judicials amb rellevància pública. Tots aquests epígrafs </w:t>
      </w:r>
      <w:r w:rsidR="0090576A" w:rsidRPr="009A3B65">
        <w:rPr>
          <w:rFonts w:cs="Arial"/>
          <w:lang w:eastAsia="ca-ES"/>
        </w:rPr>
        <w:t>són responsabilitat de TOTS</w:t>
      </w:r>
      <w:r w:rsidR="00E779AC">
        <w:rPr>
          <w:rFonts w:cs="Arial"/>
          <w:lang w:eastAsia="ca-ES"/>
        </w:rPr>
        <w:t>.</w:t>
      </w:r>
      <w:r w:rsidR="0090576A" w:rsidRPr="009A3B65">
        <w:rPr>
          <w:rFonts w:cs="Arial"/>
          <w:lang w:eastAsia="ca-ES"/>
        </w:rPr>
        <w:t xml:space="preserve"> </w:t>
      </w:r>
    </w:p>
    <w:p w:rsidR="00312CAC" w:rsidRPr="009A3B65" w:rsidRDefault="00B313A6" w:rsidP="00CA551F">
      <w:pPr>
        <w:spacing w:before="120" w:after="120"/>
        <w:jc w:val="both"/>
        <w:rPr>
          <w:rFonts w:cs="Arial"/>
          <w:lang w:eastAsia="ca-ES"/>
        </w:rPr>
      </w:pPr>
      <w:r w:rsidRPr="009A3B65">
        <w:rPr>
          <w:rFonts w:cs="Arial"/>
          <w:lang w:eastAsia="ca-ES"/>
        </w:rPr>
        <w:t>L’</w:t>
      </w:r>
      <w:r w:rsidRPr="009A3B65">
        <w:rPr>
          <w:rFonts w:cs="Arial"/>
          <w:b/>
          <w:lang w:eastAsia="ca-ES"/>
        </w:rPr>
        <w:t xml:space="preserve">indicador </w:t>
      </w:r>
      <w:r w:rsidR="00CE2D98" w:rsidRPr="009A3B65">
        <w:rPr>
          <w:rFonts w:cs="Arial"/>
          <w:b/>
          <w:lang w:eastAsia="ca-ES"/>
        </w:rPr>
        <w:t>Accessibilitat</w:t>
      </w:r>
      <w:r w:rsidRPr="009A3B65">
        <w:rPr>
          <w:rFonts w:cs="Arial"/>
          <w:b/>
          <w:lang w:eastAsia="ca-ES"/>
        </w:rPr>
        <w:t xml:space="preserve"> </w:t>
      </w:r>
      <w:r w:rsidRPr="009A3B65">
        <w:rPr>
          <w:rFonts w:cs="Arial"/>
          <w:lang w:eastAsia="ca-ES"/>
        </w:rPr>
        <w:t xml:space="preserve">obté el </w:t>
      </w:r>
      <w:r w:rsidR="005F00E2">
        <w:rPr>
          <w:rFonts w:cs="Arial"/>
          <w:lang w:eastAsia="ca-ES"/>
        </w:rPr>
        <w:t xml:space="preserve">mateix </w:t>
      </w:r>
      <w:r w:rsidRPr="009A3B65">
        <w:rPr>
          <w:rFonts w:cs="Arial"/>
          <w:lang w:eastAsia="ca-ES"/>
        </w:rPr>
        <w:t xml:space="preserve">grau de compliment </w:t>
      </w:r>
      <w:r w:rsidR="005F00E2">
        <w:rPr>
          <w:rFonts w:cs="Arial"/>
          <w:lang w:eastAsia="ca-ES"/>
        </w:rPr>
        <w:t xml:space="preserve">que el de Presentació, tot i que el valor obtingut ha disminuït respecte de l’any anterior en 2 punts percentuals. </w:t>
      </w:r>
      <w:r w:rsidR="00FC07A3">
        <w:rPr>
          <w:rFonts w:cs="Arial"/>
          <w:lang w:eastAsia="ca-ES"/>
        </w:rPr>
        <w:t xml:space="preserve">Els pitjors resultats coincideixen amb els indicats en l’indicador anterior, a excepció del d’Estudis de polítiques públiques i d’anàlisi comparada, i són responsabilitat de TOTS. </w:t>
      </w:r>
    </w:p>
    <w:p w:rsidR="00B313A6" w:rsidRDefault="00B313A6" w:rsidP="00CA551F">
      <w:pPr>
        <w:spacing w:before="120" w:after="120"/>
        <w:jc w:val="both"/>
        <w:rPr>
          <w:rFonts w:cs="Arial"/>
          <w:lang w:eastAsia="ca-ES"/>
        </w:rPr>
      </w:pPr>
      <w:r w:rsidRPr="009A3B65">
        <w:rPr>
          <w:rFonts w:cs="Arial"/>
          <w:lang w:eastAsia="ca-ES"/>
        </w:rPr>
        <w:t>L’</w:t>
      </w:r>
      <w:r w:rsidRPr="009A3B65">
        <w:rPr>
          <w:rFonts w:cs="Arial"/>
          <w:b/>
          <w:lang w:eastAsia="ca-ES"/>
        </w:rPr>
        <w:t xml:space="preserve">indicador </w:t>
      </w:r>
      <w:r w:rsidR="0074208A" w:rsidRPr="009A3B65">
        <w:rPr>
          <w:rFonts w:cs="Arial"/>
          <w:b/>
          <w:lang w:eastAsia="ca-ES"/>
        </w:rPr>
        <w:t>Contingut</w:t>
      </w:r>
      <w:r w:rsidRPr="009A3B65">
        <w:rPr>
          <w:rFonts w:cs="Arial"/>
          <w:b/>
          <w:lang w:eastAsia="ca-ES"/>
        </w:rPr>
        <w:t xml:space="preserve"> </w:t>
      </w:r>
      <w:r w:rsidRPr="009A3B65">
        <w:rPr>
          <w:rFonts w:cs="Arial"/>
          <w:lang w:eastAsia="ca-ES"/>
        </w:rPr>
        <w:t>obté un grau de compliment</w:t>
      </w:r>
      <w:r w:rsidR="0074208A" w:rsidRPr="009A3B65">
        <w:rPr>
          <w:rFonts w:cs="Arial"/>
          <w:lang w:eastAsia="ca-ES"/>
        </w:rPr>
        <w:t xml:space="preserve"> </w:t>
      </w:r>
      <w:r w:rsidR="00420988">
        <w:rPr>
          <w:rFonts w:cs="Arial"/>
          <w:lang w:eastAsia="ca-ES"/>
        </w:rPr>
        <w:t xml:space="preserve">un xic per sobre de la mitjana, pràcticament igual que el resultat de l’any anterior. </w:t>
      </w:r>
      <w:r w:rsidR="00474A1B">
        <w:rPr>
          <w:rFonts w:cs="Arial"/>
          <w:lang w:eastAsia="ca-ES"/>
        </w:rPr>
        <w:t>El pitjor resultat correspon a l’epígraf Alumnes admesos a les activitats formatives i els següents en pitjor valoració coincideixen amb els de l’indicador anterior, més el d’Auditoria dels serveis públics.</w:t>
      </w:r>
    </w:p>
    <w:p w:rsidR="00B313A6" w:rsidRPr="009A3B65" w:rsidRDefault="00B313A6" w:rsidP="00CA551F">
      <w:pPr>
        <w:spacing w:before="120" w:after="120"/>
        <w:jc w:val="both"/>
        <w:rPr>
          <w:rFonts w:cs="Arial"/>
        </w:rPr>
      </w:pPr>
      <w:r w:rsidRPr="009A3B65">
        <w:rPr>
          <w:rFonts w:cs="Arial"/>
        </w:rPr>
        <w:t>L’</w:t>
      </w:r>
      <w:r w:rsidRPr="00E62A2A">
        <w:rPr>
          <w:rFonts w:cs="Arial"/>
          <w:b/>
        </w:rPr>
        <w:t xml:space="preserve">indicador </w:t>
      </w:r>
      <w:r w:rsidR="00CE2D98" w:rsidRPr="00E62A2A">
        <w:rPr>
          <w:rFonts w:cs="Arial"/>
          <w:b/>
        </w:rPr>
        <w:t>Font, format i actualització</w:t>
      </w:r>
      <w:r w:rsidRPr="00E62A2A">
        <w:rPr>
          <w:rFonts w:cs="Arial"/>
        </w:rPr>
        <w:t xml:space="preserve"> </w:t>
      </w:r>
      <w:r w:rsidRPr="009A3B65">
        <w:rPr>
          <w:rFonts w:cs="Arial"/>
        </w:rPr>
        <w:t>obté</w:t>
      </w:r>
      <w:r w:rsidR="00CE2D98" w:rsidRPr="009A3B65">
        <w:rPr>
          <w:rFonts w:cs="Arial"/>
        </w:rPr>
        <w:t xml:space="preserve"> el pitjor resultat</w:t>
      </w:r>
      <w:r w:rsidR="008D39A1">
        <w:rPr>
          <w:rFonts w:cs="Arial"/>
        </w:rPr>
        <w:t>, bastant per sota de la mitjana</w:t>
      </w:r>
      <w:r w:rsidR="00CE2D98" w:rsidRPr="009A3B65">
        <w:rPr>
          <w:rFonts w:cs="Arial"/>
        </w:rPr>
        <w:t>,</w:t>
      </w:r>
      <w:r w:rsidR="008D39A1">
        <w:rPr>
          <w:rFonts w:cs="Arial"/>
        </w:rPr>
        <w:t xml:space="preserve"> i per sota del valor assolit en l’avaluació de l’any anterior. Per tant, aquest indicador ha patit un retrocés.</w:t>
      </w:r>
      <w:r w:rsidRPr="009A3B65">
        <w:rPr>
          <w:rFonts w:cs="Arial"/>
        </w:rPr>
        <w:t xml:space="preserve"> </w:t>
      </w:r>
      <w:r w:rsidR="004B105D" w:rsidRPr="009A3B65">
        <w:rPr>
          <w:rFonts w:cs="Arial"/>
        </w:rPr>
        <w:t>El pitjor</w:t>
      </w:r>
      <w:r w:rsidR="008D39A1">
        <w:rPr>
          <w:rFonts w:cs="Arial"/>
        </w:rPr>
        <w:t>s resultats coincideixen amb els</w:t>
      </w:r>
      <w:r w:rsidR="001F0C0F">
        <w:rPr>
          <w:rFonts w:cs="Arial"/>
        </w:rPr>
        <w:t xml:space="preserve"> epígrafs</w:t>
      </w:r>
      <w:r w:rsidR="008D39A1">
        <w:rPr>
          <w:rFonts w:cs="Arial"/>
        </w:rPr>
        <w:t xml:space="preserve"> mencionats en l’indicador anterior, tret de l’Auditoria dels serveis públics, i afegint-hi els de </w:t>
      </w:r>
      <w:r w:rsidR="00C90DCA">
        <w:rPr>
          <w:rFonts w:cs="Arial"/>
        </w:rPr>
        <w:t>Memòria sobre publicitat institucional, Altres indicadors econòmics, Subvencions a partits polítics, Biografia, Composició del Govern i Resolucions judicials</w:t>
      </w:r>
      <w:r w:rsidR="004B105D" w:rsidRPr="009A3B65">
        <w:rPr>
          <w:rFonts w:cs="Arial"/>
        </w:rPr>
        <w:t>.</w:t>
      </w:r>
      <w:r w:rsidR="004047C4" w:rsidRPr="009A3B65">
        <w:rPr>
          <w:rFonts w:cs="Arial"/>
        </w:rPr>
        <w:t xml:space="preserve"> </w:t>
      </w:r>
      <w:r w:rsidR="001F0C0F">
        <w:rPr>
          <w:rFonts w:cs="Arial"/>
        </w:rPr>
        <w:t>La majoria són responsabilitat de TOTS, tot i que n’hi ha dos de VEH, dos de PRE, un de PDA i un d’EXI.</w:t>
      </w:r>
    </w:p>
    <w:p w:rsidR="00B313A6" w:rsidRPr="009A3B65" w:rsidRDefault="00B313A6" w:rsidP="00CA551F">
      <w:pPr>
        <w:spacing w:before="120" w:after="120"/>
        <w:jc w:val="both"/>
        <w:rPr>
          <w:rFonts w:cs="Arial"/>
          <w:lang w:eastAsia="ca-ES"/>
        </w:rPr>
      </w:pPr>
    </w:p>
    <w:p w:rsidR="00775613" w:rsidRDefault="00655552" w:rsidP="00CA551F">
      <w:pPr>
        <w:pStyle w:val="Ttol1"/>
        <w:spacing w:before="120" w:after="120" w:line="240" w:lineRule="auto"/>
        <w:jc w:val="both"/>
        <w:rPr>
          <w:rFonts w:ascii="Arial" w:hAnsi="Arial" w:cs="Arial"/>
        </w:rPr>
      </w:pPr>
      <w:bookmarkStart w:id="49" w:name="_Toc442864035"/>
      <w:bookmarkStart w:id="50" w:name="_Toc14780378"/>
      <w:r>
        <w:rPr>
          <w:rFonts w:ascii="Arial" w:hAnsi="Arial" w:cs="Arial"/>
        </w:rPr>
        <w:t>6</w:t>
      </w:r>
      <w:r w:rsidR="00775613" w:rsidRPr="009A3B65">
        <w:rPr>
          <w:rFonts w:ascii="Arial" w:hAnsi="Arial" w:cs="Arial"/>
        </w:rPr>
        <w:t>. C</w:t>
      </w:r>
      <w:bookmarkEnd w:id="49"/>
      <w:r w:rsidR="00967012">
        <w:rPr>
          <w:rFonts w:ascii="Arial" w:hAnsi="Arial" w:cs="Arial"/>
        </w:rPr>
        <w:t>onclusions i recomanacions</w:t>
      </w:r>
      <w:bookmarkEnd w:id="50"/>
    </w:p>
    <w:p w:rsidR="00BC23BB" w:rsidRDefault="003C39B5" w:rsidP="00BC23BB">
      <w:pPr>
        <w:spacing w:before="120" w:after="120"/>
        <w:jc w:val="both"/>
        <w:rPr>
          <w:rFonts w:cs="Arial"/>
          <w:lang w:eastAsia="ca-ES"/>
        </w:rPr>
      </w:pPr>
      <w:r>
        <w:rPr>
          <w:rFonts w:cs="Arial"/>
        </w:rPr>
        <w:t>E</w:t>
      </w:r>
      <w:r w:rsidR="00BC23BB" w:rsidRPr="009A3B65">
        <w:rPr>
          <w:rFonts w:cs="Arial"/>
        </w:rPr>
        <w:t>n tota avaluació sempre hi ha un cert marge de subjectivitat i d’interpretació</w:t>
      </w:r>
      <w:r w:rsidR="00285E6B">
        <w:rPr>
          <w:rFonts w:cs="Arial"/>
        </w:rPr>
        <w:t xml:space="preserve"> de qui avalua</w:t>
      </w:r>
      <w:r>
        <w:rPr>
          <w:rFonts w:cs="Arial"/>
        </w:rPr>
        <w:t xml:space="preserve">, que pot donar peu a valoracions diferents. </w:t>
      </w:r>
      <w:r w:rsidR="009B3C15">
        <w:rPr>
          <w:rFonts w:cs="Arial"/>
        </w:rPr>
        <w:t>A més, i e</w:t>
      </w:r>
      <w:r>
        <w:rPr>
          <w:rFonts w:cs="Arial"/>
        </w:rPr>
        <w:t>n aquest sentit, com s’ha indicat anteriorment, hi ha 19 epígrafs que són responsabilitat de tots els departaments i que, per tant, cadascun té obligació de publicar-ne informació</w:t>
      </w:r>
      <w:r w:rsidR="009B3C15">
        <w:rPr>
          <w:rFonts w:cs="Arial"/>
        </w:rPr>
        <w:t xml:space="preserve"> i mantenir-los</w:t>
      </w:r>
      <w:r>
        <w:rPr>
          <w:rFonts w:cs="Arial"/>
        </w:rPr>
        <w:t xml:space="preserve">. </w:t>
      </w:r>
    </w:p>
    <w:p w:rsidR="00775613" w:rsidRPr="009A3B65" w:rsidRDefault="009B3C15" w:rsidP="00CA551F">
      <w:pPr>
        <w:spacing w:before="120" w:after="120"/>
        <w:jc w:val="both"/>
        <w:rPr>
          <w:rFonts w:cs="Arial"/>
        </w:rPr>
      </w:pPr>
      <w:r>
        <w:rPr>
          <w:rFonts w:cs="Arial"/>
        </w:rPr>
        <w:t>Tot seguit</w:t>
      </w:r>
      <w:r w:rsidR="00775613" w:rsidRPr="009A3B65">
        <w:rPr>
          <w:rFonts w:cs="Arial"/>
        </w:rPr>
        <w:t xml:space="preserve"> es recullen les conclusions d</w:t>
      </w:r>
      <w:r w:rsidR="0025237F">
        <w:rPr>
          <w:rFonts w:cs="Arial"/>
        </w:rPr>
        <w:t>e l</w:t>
      </w:r>
      <w:r w:rsidR="00775613" w:rsidRPr="009A3B65">
        <w:rPr>
          <w:rFonts w:cs="Arial"/>
        </w:rPr>
        <w:t xml:space="preserve">’avaluació, així com recomanacions sobre les accions </w:t>
      </w:r>
      <w:r w:rsidR="0025237F">
        <w:rPr>
          <w:rFonts w:cs="Arial"/>
        </w:rPr>
        <w:t>a</w:t>
      </w:r>
      <w:r w:rsidR="00775613" w:rsidRPr="009A3B65">
        <w:rPr>
          <w:rFonts w:cs="Arial"/>
        </w:rPr>
        <w:t xml:space="preserve"> dur a terme per</w:t>
      </w:r>
      <w:r w:rsidR="00EC2034" w:rsidRPr="009A3B65">
        <w:rPr>
          <w:rFonts w:cs="Arial"/>
        </w:rPr>
        <w:t xml:space="preserve"> millorar i</w:t>
      </w:r>
      <w:r w:rsidR="00775613" w:rsidRPr="009A3B65">
        <w:rPr>
          <w:rFonts w:cs="Arial"/>
        </w:rPr>
        <w:t xml:space="preserve"> avança</w:t>
      </w:r>
      <w:r w:rsidR="00EC2034" w:rsidRPr="009A3B65">
        <w:rPr>
          <w:rFonts w:cs="Arial"/>
        </w:rPr>
        <w:t>r</w:t>
      </w:r>
      <w:r w:rsidR="00775613" w:rsidRPr="009A3B65">
        <w:rPr>
          <w:rFonts w:cs="Arial"/>
        </w:rPr>
        <w:t xml:space="preserve"> en </w:t>
      </w:r>
      <w:r w:rsidR="00EC2034" w:rsidRPr="009A3B65">
        <w:rPr>
          <w:rFonts w:cs="Arial"/>
        </w:rPr>
        <w:t>el compliment de les obligacions de transparència.</w:t>
      </w:r>
    </w:p>
    <w:p w:rsidR="00775613" w:rsidRPr="00E62A2A" w:rsidRDefault="00775613" w:rsidP="00CA551F">
      <w:pPr>
        <w:spacing w:before="120" w:after="120"/>
        <w:jc w:val="both"/>
        <w:rPr>
          <w:rFonts w:cs="Arial"/>
        </w:rPr>
      </w:pPr>
    </w:p>
    <w:p w:rsidR="00775613" w:rsidRDefault="00655552" w:rsidP="00CA551F">
      <w:pPr>
        <w:pStyle w:val="Ttol2"/>
        <w:spacing w:before="120" w:after="120" w:line="240" w:lineRule="auto"/>
        <w:jc w:val="both"/>
        <w:rPr>
          <w:rFonts w:ascii="Arial" w:hAnsi="Arial" w:cs="Arial"/>
        </w:rPr>
      </w:pPr>
      <w:bookmarkStart w:id="51" w:name="_Toc442864037"/>
      <w:bookmarkStart w:id="52" w:name="_Toc14780379"/>
      <w:r>
        <w:rPr>
          <w:rFonts w:ascii="Arial" w:hAnsi="Arial" w:cs="Arial"/>
        </w:rPr>
        <w:t>6</w:t>
      </w:r>
      <w:r w:rsidR="00775613" w:rsidRPr="009A3B65">
        <w:rPr>
          <w:rFonts w:ascii="Arial" w:hAnsi="Arial" w:cs="Arial"/>
        </w:rPr>
        <w:t>.</w:t>
      </w:r>
      <w:r w:rsidR="0054041F">
        <w:rPr>
          <w:rFonts w:ascii="Arial" w:hAnsi="Arial" w:cs="Arial"/>
        </w:rPr>
        <w:t>1</w:t>
      </w:r>
      <w:r w:rsidR="00775613" w:rsidRPr="009A3B65">
        <w:rPr>
          <w:rFonts w:ascii="Arial" w:hAnsi="Arial" w:cs="Arial"/>
        </w:rPr>
        <w:t xml:space="preserve"> Conclusions</w:t>
      </w:r>
      <w:bookmarkEnd w:id="51"/>
      <w:bookmarkEnd w:id="52"/>
    </w:p>
    <w:p w:rsidR="00BC23BB" w:rsidRDefault="009B3C15" w:rsidP="00BC23BB">
      <w:pPr>
        <w:spacing w:before="120" w:after="120"/>
        <w:jc w:val="both"/>
        <w:rPr>
          <w:rFonts w:cs="Arial"/>
        </w:rPr>
      </w:pPr>
      <w:r>
        <w:rPr>
          <w:rFonts w:cs="Arial"/>
        </w:rPr>
        <w:t>T</w:t>
      </w:r>
      <w:r w:rsidR="00BC23BB" w:rsidRPr="009A3B65">
        <w:rPr>
          <w:rFonts w:cs="Arial"/>
        </w:rPr>
        <w:t>ot i que el resultat global per apartats del Portal de Transparència és</w:t>
      </w:r>
      <w:r>
        <w:rPr>
          <w:rFonts w:cs="Arial"/>
        </w:rPr>
        <w:t xml:space="preserve"> força</w:t>
      </w:r>
      <w:r w:rsidR="00BC23BB" w:rsidRPr="009A3B65">
        <w:rPr>
          <w:rFonts w:cs="Arial"/>
        </w:rPr>
        <w:t xml:space="preserve"> bo, encara hi ha </w:t>
      </w:r>
      <w:r>
        <w:rPr>
          <w:rFonts w:cs="Arial"/>
        </w:rPr>
        <w:t>marge de</w:t>
      </w:r>
      <w:r w:rsidR="00BC23BB" w:rsidRPr="009A3B65">
        <w:rPr>
          <w:rFonts w:cs="Arial"/>
        </w:rPr>
        <w:t xml:space="preserve"> millora. En particular, </w:t>
      </w:r>
      <w:r>
        <w:rPr>
          <w:rFonts w:cs="Arial"/>
        </w:rPr>
        <w:t xml:space="preserve">en l’avaluació es torna a </w:t>
      </w:r>
      <w:r w:rsidR="00BC23BB" w:rsidRPr="009A3B65">
        <w:rPr>
          <w:rFonts w:cs="Arial"/>
        </w:rPr>
        <w:t>posar</w:t>
      </w:r>
      <w:r>
        <w:rPr>
          <w:rFonts w:cs="Arial"/>
        </w:rPr>
        <w:t xml:space="preserve"> de manifest, com en l’avaluació anterior, que els epígrafs que son responsabilitat de tots els departaments</w:t>
      </w:r>
      <w:r w:rsidR="00BC23BB" w:rsidRPr="009A3B65">
        <w:rPr>
          <w:rFonts w:cs="Arial"/>
        </w:rPr>
        <w:t xml:space="preserve"> </w:t>
      </w:r>
      <w:r w:rsidR="00D71889">
        <w:rPr>
          <w:rFonts w:cs="Arial"/>
        </w:rPr>
        <w:t>són els que pitjors resultats obtenen</w:t>
      </w:r>
      <w:r w:rsidR="00507086">
        <w:rPr>
          <w:rFonts w:cs="Arial"/>
        </w:rPr>
        <w:t xml:space="preserve">, com a </w:t>
      </w:r>
      <w:r w:rsidR="006A486F">
        <w:rPr>
          <w:rFonts w:cs="Arial"/>
        </w:rPr>
        <w:t>norma general.</w:t>
      </w:r>
      <w:r w:rsidR="00507086">
        <w:rPr>
          <w:rFonts w:cs="Arial"/>
        </w:rPr>
        <w:t xml:space="preserve"> A banda d’això, </w:t>
      </w:r>
      <w:r w:rsidR="00813A45">
        <w:rPr>
          <w:rFonts w:cs="Arial"/>
        </w:rPr>
        <w:t xml:space="preserve">com s’ha indicat en apartats anteriors, </w:t>
      </w:r>
      <w:r w:rsidR="00507086">
        <w:rPr>
          <w:rFonts w:cs="Arial"/>
        </w:rPr>
        <w:t xml:space="preserve">hi ha altres epígrafs que son responsabilitat d’algun </w:t>
      </w:r>
      <w:r w:rsidR="00F77822">
        <w:rPr>
          <w:rFonts w:cs="Arial"/>
        </w:rPr>
        <w:t xml:space="preserve">dels </w:t>
      </w:r>
      <w:r w:rsidR="00507086">
        <w:rPr>
          <w:rFonts w:cs="Arial"/>
        </w:rPr>
        <w:t>departament</w:t>
      </w:r>
      <w:r w:rsidR="00F77822">
        <w:rPr>
          <w:rFonts w:cs="Arial"/>
        </w:rPr>
        <w:t>s</w:t>
      </w:r>
      <w:r w:rsidR="00507086">
        <w:rPr>
          <w:rFonts w:cs="Arial"/>
        </w:rPr>
        <w:t xml:space="preserve"> que també</w:t>
      </w:r>
      <w:r w:rsidR="00F77822">
        <w:rPr>
          <w:rFonts w:cs="Arial"/>
        </w:rPr>
        <w:t xml:space="preserve"> són força millorables.</w:t>
      </w:r>
      <w:r w:rsidR="009519B0">
        <w:rPr>
          <w:rFonts w:cs="Arial"/>
        </w:rPr>
        <w:t xml:space="preserve"> Tot seguit es mostren les conclusions segons els diferents indicadors.</w:t>
      </w:r>
    </w:p>
    <w:p w:rsidR="009519B0" w:rsidRPr="009519B0" w:rsidRDefault="009519B0" w:rsidP="009519B0">
      <w:pPr>
        <w:pStyle w:val="Ttol3"/>
        <w:rPr>
          <w:rFonts w:ascii="Arial" w:hAnsi="Arial" w:cs="Arial"/>
        </w:rPr>
      </w:pPr>
      <w:bookmarkStart w:id="53" w:name="_Toc14780380"/>
      <w:r w:rsidRPr="009519B0">
        <w:rPr>
          <w:rFonts w:ascii="Arial" w:hAnsi="Arial" w:cs="Arial"/>
        </w:rPr>
        <w:t>6.1.1 Segons l’indicador Presentació</w:t>
      </w:r>
      <w:bookmarkEnd w:id="53"/>
    </w:p>
    <w:p w:rsidR="002958BE" w:rsidRDefault="0056174D" w:rsidP="00BC23BB">
      <w:pPr>
        <w:spacing w:before="120" w:after="120"/>
        <w:jc w:val="both"/>
        <w:rPr>
          <w:rFonts w:cs="Arial"/>
        </w:rPr>
      </w:pPr>
      <w:r>
        <w:rPr>
          <w:rFonts w:cs="Arial"/>
        </w:rPr>
        <w:t>Pel que fa a la</w:t>
      </w:r>
      <w:r w:rsidR="00C6261C">
        <w:rPr>
          <w:rFonts w:cs="Arial"/>
        </w:rPr>
        <w:t xml:space="preserve"> presentació de la</w:t>
      </w:r>
      <w:r>
        <w:rPr>
          <w:rFonts w:cs="Arial"/>
        </w:rPr>
        <w:t xml:space="preserve"> informació subjecta a publicitat activa dins els epígrafs i de les pàgines departamentals respectives, </w:t>
      </w:r>
      <w:r w:rsidR="00C6261C">
        <w:rPr>
          <w:rFonts w:cs="Arial"/>
        </w:rPr>
        <w:t>es constata que en determinades ocasions no hi ha descripcions massa clares ni un llenguatge comprensible per a persones no enteses en la matèria. Tanmateix, els paràgrafs massa grans poden dificultar la comprensió i fer-la feixuga.</w:t>
      </w:r>
    </w:p>
    <w:p w:rsidR="007C305C" w:rsidRDefault="007C305C" w:rsidP="00BC23BB">
      <w:pPr>
        <w:spacing w:before="120" w:after="120"/>
        <w:jc w:val="both"/>
        <w:rPr>
          <w:rFonts w:cs="Arial"/>
        </w:rPr>
      </w:pPr>
      <w:r>
        <w:rPr>
          <w:rFonts w:cs="Arial"/>
        </w:rPr>
        <w:t>Quant als epígrafs que han de mantenir tots els departaments, sovint l</w:t>
      </w:r>
      <w:r w:rsidR="004A3579">
        <w:rPr>
          <w:rFonts w:cs="Arial"/>
        </w:rPr>
        <w:t>a presentació no és homogènia, hi ha títols diferents, l’organització és diferent, etc. Malgrat això, sí s’observa un esforç de millora respecte de l’avaluació anterior, tot i que en queda marge.</w:t>
      </w:r>
    </w:p>
    <w:p w:rsidR="009519B0" w:rsidRPr="009519B0" w:rsidRDefault="009519B0" w:rsidP="009519B0">
      <w:pPr>
        <w:pStyle w:val="Ttol3"/>
        <w:rPr>
          <w:rFonts w:ascii="Arial" w:hAnsi="Arial" w:cs="Arial"/>
        </w:rPr>
      </w:pPr>
      <w:bookmarkStart w:id="54" w:name="_Toc14780381"/>
      <w:r w:rsidRPr="009519B0">
        <w:rPr>
          <w:rFonts w:ascii="Arial" w:hAnsi="Arial" w:cs="Arial"/>
        </w:rPr>
        <w:t xml:space="preserve">6.1.2 </w:t>
      </w:r>
      <w:r w:rsidRPr="009519B0">
        <w:rPr>
          <w:rFonts w:ascii="Arial" w:hAnsi="Arial" w:cs="Arial"/>
        </w:rPr>
        <w:t xml:space="preserve">Segons l’indicador </w:t>
      </w:r>
      <w:r w:rsidRPr="009519B0">
        <w:rPr>
          <w:rFonts w:ascii="Arial" w:hAnsi="Arial" w:cs="Arial"/>
        </w:rPr>
        <w:t>Accessibilitat</w:t>
      </w:r>
      <w:bookmarkEnd w:id="54"/>
    </w:p>
    <w:p w:rsidR="004A3579" w:rsidRDefault="00F814FA" w:rsidP="00BC23BB">
      <w:pPr>
        <w:spacing w:before="120" w:after="120"/>
        <w:jc w:val="both"/>
        <w:rPr>
          <w:rFonts w:cs="Arial"/>
        </w:rPr>
      </w:pPr>
      <w:r>
        <w:rPr>
          <w:rFonts w:cs="Arial"/>
        </w:rPr>
        <w:t xml:space="preserve">En relació amb l’accessibilitat a la informació, en determinats casos s’observa que fer un gran nombre de clics per arribar-hi, de vegades més de quatre o cinc, el que dificulta la rapidesa  i la facilitat per trobar el que es vol consultar. Això també està relacionat amb la forma en què s’ordena i estructura la informació, que en fa difícil l’accés, de vegades amb pàgines </w:t>
      </w:r>
      <w:proofErr w:type="spellStart"/>
      <w:r>
        <w:rPr>
          <w:rFonts w:cs="Arial"/>
        </w:rPr>
        <w:t>intermitges</w:t>
      </w:r>
      <w:proofErr w:type="spellEnd"/>
      <w:r>
        <w:rPr>
          <w:rFonts w:cs="Arial"/>
        </w:rPr>
        <w:t xml:space="preserve"> que no aporten cap valor i que podrien perfectament suprimir-se. </w:t>
      </w:r>
    </w:p>
    <w:p w:rsidR="009519B0" w:rsidRPr="009519B0" w:rsidRDefault="009519B0" w:rsidP="009519B0">
      <w:pPr>
        <w:pStyle w:val="Ttol3"/>
        <w:rPr>
          <w:rFonts w:ascii="Arial" w:hAnsi="Arial" w:cs="Arial"/>
        </w:rPr>
      </w:pPr>
      <w:bookmarkStart w:id="55" w:name="_Toc14780382"/>
      <w:r w:rsidRPr="009519B0">
        <w:rPr>
          <w:rFonts w:ascii="Arial" w:hAnsi="Arial" w:cs="Arial"/>
        </w:rPr>
        <w:t>6.1.</w:t>
      </w:r>
      <w:r w:rsidRPr="009519B0">
        <w:rPr>
          <w:rFonts w:ascii="Arial" w:hAnsi="Arial" w:cs="Arial"/>
        </w:rPr>
        <w:t>3</w:t>
      </w:r>
      <w:r w:rsidRPr="009519B0">
        <w:rPr>
          <w:rFonts w:ascii="Arial" w:hAnsi="Arial" w:cs="Arial"/>
        </w:rPr>
        <w:t xml:space="preserve"> Segons l’indicador </w:t>
      </w:r>
      <w:r w:rsidRPr="009519B0">
        <w:rPr>
          <w:rFonts w:ascii="Arial" w:hAnsi="Arial" w:cs="Arial"/>
        </w:rPr>
        <w:t>Contingut</w:t>
      </w:r>
      <w:bookmarkEnd w:id="55"/>
    </w:p>
    <w:p w:rsidR="007E3CE4" w:rsidRDefault="007E3CE4" w:rsidP="00BC23BB">
      <w:pPr>
        <w:spacing w:before="120" w:after="120"/>
        <w:jc w:val="both"/>
        <w:rPr>
          <w:rFonts w:cs="Arial"/>
        </w:rPr>
      </w:pPr>
      <w:r>
        <w:rPr>
          <w:rFonts w:cs="Arial"/>
        </w:rPr>
        <w:t xml:space="preserve">Respecte del contingut de la informació, en general es pot trobar la totalitat de la informació. Això no obstant, es detecta que alguns casos, generalment quan la informació a publicar es responsabilitat de tots els departaments, per certs continguts, la informació no s’adapta als criteris aprovats. I de vegades el contingut tampoc és massa comprensible per persones no expertes. </w:t>
      </w:r>
    </w:p>
    <w:p w:rsidR="007E3CE4" w:rsidRDefault="007E3CE4" w:rsidP="00BC23BB">
      <w:pPr>
        <w:spacing w:before="120" w:after="120"/>
        <w:jc w:val="both"/>
        <w:rPr>
          <w:rFonts w:cs="Arial"/>
        </w:rPr>
      </w:pPr>
      <w:r>
        <w:rPr>
          <w:rFonts w:cs="Arial"/>
        </w:rPr>
        <w:t xml:space="preserve">En determinades ocasions en què en els criteris aprovats es fa referència a l’obligatorietat de publicar certa informació o a indicar expressament que no es genera o no se’n disposa, no sempre </w:t>
      </w:r>
      <w:r w:rsidR="005F4726">
        <w:rPr>
          <w:rFonts w:cs="Arial"/>
        </w:rPr>
        <w:t>es fa. Hi ha departaments que indiquen expressament aquesta circumstància i d’altres que no, sense cap altra informació.</w:t>
      </w:r>
      <w:r>
        <w:rPr>
          <w:rFonts w:cs="Arial"/>
        </w:rPr>
        <w:t xml:space="preserve"> </w:t>
      </w:r>
    </w:p>
    <w:p w:rsidR="009519B0" w:rsidRPr="009519B0" w:rsidRDefault="009519B0" w:rsidP="009519B0">
      <w:pPr>
        <w:pStyle w:val="Ttol3"/>
        <w:rPr>
          <w:rFonts w:ascii="Arial" w:hAnsi="Arial" w:cs="Arial"/>
        </w:rPr>
      </w:pPr>
      <w:bookmarkStart w:id="56" w:name="_Toc14780383"/>
      <w:r w:rsidRPr="009519B0">
        <w:rPr>
          <w:rFonts w:ascii="Arial" w:hAnsi="Arial" w:cs="Arial"/>
        </w:rPr>
        <w:t>6.1.</w:t>
      </w:r>
      <w:r w:rsidRPr="009519B0">
        <w:rPr>
          <w:rFonts w:ascii="Arial" w:hAnsi="Arial" w:cs="Arial"/>
        </w:rPr>
        <w:t>4</w:t>
      </w:r>
      <w:r w:rsidRPr="009519B0">
        <w:rPr>
          <w:rFonts w:ascii="Arial" w:hAnsi="Arial" w:cs="Arial"/>
        </w:rPr>
        <w:t xml:space="preserve"> Segons l’indicador </w:t>
      </w:r>
      <w:r w:rsidRPr="009519B0">
        <w:rPr>
          <w:rFonts w:ascii="Arial" w:hAnsi="Arial" w:cs="Arial"/>
        </w:rPr>
        <w:t>Font, format i actualització</w:t>
      </w:r>
      <w:bookmarkEnd w:id="56"/>
    </w:p>
    <w:p w:rsidR="00091CCD" w:rsidRDefault="00091CCD" w:rsidP="00BC23BB">
      <w:pPr>
        <w:spacing w:before="120" w:after="120"/>
        <w:jc w:val="both"/>
        <w:rPr>
          <w:rFonts w:cs="Arial"/>
        </w:rPr>
      </w:pPr>
      <w:r>
        <w:rPr>
          <w:rFonts w:cs="Arial"/>
        </w:rPr>
        <w:t>Com queda palès en els resultats, l’indicador que obté el resultat global més baix és el corresponent al de Font, format i actualització de la informació.</w:t>
      </w:r>
      <w:r w:rsidR="0013395D">
        <w:rPr>
          <w:rFonts w:cs="Arial"/>
        </w:rPr>
        <w:t xml:space="preserve"> Tot i que en aquest indicador s’ha apreciat una millora qualitativa respecte de l’avaluació anterior bastant remarcable, encara hi ha molts aspectes a millorar. Així, es detecta molta informació </w:t>
      </w:r>
      <w:proofErr w:type="spellStart"/>
      <w:r w:rsidR="0013395D">
        <w:rPr>
          <w:rFonts w:cs="Arial"/>
        </w:rPr>
        <w:t>desactualitzada</w:t>
      </w:r>
      <w:proofErr w:type="spellEnd"/>
      <w:r w:rsidR="0013395D">
        <w:rPr>
          <w:rFonts w:cs="Arial"/>
        </w:rPr>
        <w:t xml:space="preserve"> o sense data d’actualització i, en altres casos, fins i tot costa de trobar la data. </w:t>
      </w:r>
    </w:p>
    <w:p w:rsidR="0013395D" w:rsidRDefault="0013395D" w:rsidP="00BC23BB">
      <w:pPr>
        <w:spacing w:before="120" w:after="120"/>
        <w:jc w:val="both"/>
        <w:rPr>
          <w:rFonts w:cs="Arial"/>
        </w:rPr>
      </w:pPr>
      <w:r>
        <w:rPr>
          <w:rFonts w:cs="Arial"/>
        </w:rPr>
        <w:t>D’altra banda, la referència a la data prevista per a properes actualitzacions és gairebé inexistent, tot i no ser un aspecte d’obligat compliment. Malgrat això, trobem positivament que alguns departaments comencen a indicar aquesta informació, quan en l’avaluació anterior era del tot inexistent.</w:t>
      </w:r>
    </w:p>
    <w:p w:rsidR="00F26BE5" w:rsidRDefault="00F26BE5" w:rsidP="00BC23BB">
      <w:pPr>
        <w:spacing w:before="120" w:after="120"/>
        <w:jc w:val="both"/>
        <w:rPr>
          <w:rFonts w:cs="Arial"/>
        </w:rPr>
      </w:pPr>
      <w:r>
        <w:rPr>
          <w:rFonts w:cs="Arial"/>
        </w:rPr>
        <w:t>Quant al format de les dades, també trobem que en moltes ocasions no s’indica de forma expressa. De la mateixa forma, trobem que hi ha publicada informació en formats no reutilitzables (</w:t>
      </w:r>
      <w:proofErr w:type="spellStart"/>
      <w:r>
        <w:rPr>
          <w:rFonts w:cs="Arial"/>
        </w:rPr>
        <w:t>pdf’s</w:t>
      </w:r>
      <w:proofErr w:type="spellEnd"/>
      <w:r>
        <w:rPr>
          <w:rFonts w:cs="Arial"/>
        </w:rPr>
        <w:t>, bàsicament), quan aquesta informació és perfectament susceptible de produir-se i publicar-se en formats reutilitzables. No obstant, també aquí hem constatat una millora substancial respecte l’avaluació de l’any anterior.</w:t>
      </w:r>
    </w:p>
    <w:p w:rsidR="00037831" w:rsidRPr="00037831" w:rsidRDefault="00037831" w:rsidP="002958BE">
      <w:pPr>
        <w:keepNext/>
        <w:keepLines/>
        <w:spacing w:before="120" w:after="120"/>
        <w:jc w:val="both"/>
        <w:rPr>
          <w:rFonts w:eastAsiaTheme="majorEastAsia" w:cs="Arial"/>
          <w:bCs/>
          <w:iCs/>
          <w:color w:val="4F81BD" w:themeColor="accent1"/>
        </w:rPr>
      </w:pPr>
    </w:p>
    <w:p w:rsidR="002B1CA6" w:rsidRDefault="00655552" w:rsidP="00E9482B">
      <w:pPr>
        <w:pStyle w:val="Ttol2"/>
        <w:spacing w:before="120" w:after="120" w:line="240" w:lineRule="auto"/>
        <w:jc w:val="both"/>
        <w:rPr>
          <w:rFonts w:ascii="Arial" w:hAnsi="Arial" w:cs="Arial"/>
        </w:rPr>
      </w:pPr>
      <w:bookmarkStart w:id="57" w:name="_Toc14780384"/>
      <w:r>
        <w:rPr>
          <w:rFonts w:ascii="Arial" w:hAnsi="Arial" w:cs="Arial"/>
        </w:rPr>
        <w:t>6</w:t>
      </w:r>
      <w:r w:rsidR="002B1CA6" w:rsidRPr="002B1CA6">
        <w:rPr>
          <w:rFonts w:ascii="Arial" w:hAnsi="Arial" w:cs="Arial"/>
        </w:rPr>
        <w:t>.2 Recomanacions</w:t>
      </w:r>
      <w:bookmarkEnd w:id="57"/>
    </w:p>
    <w:p w:rsidR="00E9482B" w:rsidRDefault="00E9482B" w:rsidP="003D593A">
      <w:pPr>
        <w:spacing w:before="120" w:after="120"/>
        <w:jc w:val="both"/>
      </w:pPr>
      <w:r>
        <w:t>Tot seguit, es proposen una sèrie de recomanacions per tal de continuar avançant cap a la millora del compliment de les obligacions de transpar</w:t>
      </w:r>
      <w:r w:rsidR="002E5869">
        <w:t>ència</w:t>
      </w:r>
      <w:r w:rsidR="00EE0C34">
        <w:t xml:space="preserve"> respecte de la informació subjecta a publicitat activa</w:t>
      </w:r>
      <w:r w:rsidR="002E5869">
        <w:t>.</w:t>
      </w:r>
    </w:p>
    <w:p w:rsidR="00EE0C34" w:rsidRDefault="00EE0C34" w:rsidP="003D593A">
      <w:pPr>
        <w:spacing w:before="120" w:after="120"/>
        <w:jc w:val="both"/>
      </w:pPr>
      <w:r>
        <w:t>1. Fer descripcions clares, curtes i comprensibles per a persones no expertes en la matèria, a ser possible en un únic paràgraf.</w:t>
      </w:r>
    </w:p>
    <w:p w:rsidR="00EE0C34" w:rsidRDefault="00EE0C34" w:rsidP="00770863">
      <w:pPr>
        <w:spacing w:before="120" w:after="120"/>
        <w:jc w:val="both"/>
      </w:pPr>
      <w:r>
        <w:t xml:space="preserve">2. </w:t>
      </w:r>
      <w:r w:rsidR="00770863">
        <w:t>Tractar de servir títols iguals o semblants en els casos d’informacions que han de mantenir i publicar diversos departaments, i presentar la informació de manera homogènia i uniforme.</w:t>
      </w:r>
    </w:p>
    <w:p w:rsidR="00770863" w:rsidRDefault="00770863" w:rsidP="00770863">
      <w:pPr>
        <w:spacing w:before="120" w:after="120"/>
        <w:jc w:val="both"/>
      </w:pPr>
      <w:r>
        <w:t xml:space="preserve">3. </w:t>
      </w:r>
      <w:r w:rsidR="001230E1">
        <w:t xml:space="preserve">Ordenar i estructurar la informació de la forma més simple, eficaç i eficient possible, seguint criteris temàtics i cronològics, i intentant que es pugui arribar a la informació en el mínim nombre de clics possible. En aquest sentit, eliminar pàgines </w:t>
      </w:r>
      <w:proofErr w:type="spellStart"/>
      <w:r w:rsidR="001230E1">
        <w:t>intermitges</w:t>
      </w:r>
      <w:proofErr w:type="spellEnd"/>
      <w:r w:rsidR="001230E1">
        <w:t xml:space="preserve"> que no aportin cap valor ni eficiència.</w:t>
      </w:r>
    </w:p>
    <w:p w:rsidR="001230E1" w:rsidRDefault="001230E1" w:rsidP="00770863">
      <w:pPr>
        <w:spacing w:before="120" w:after="120"/>
        <w:jc w:val="both"/>
      </w:pPr>
      <w:r>
        <w:t>4. Publicar la informació d’acord amb els criteris vigents aprovats en matèria de publicitat activa.</w:t>
      </w:r>
    </w:p>
    <w:p w:rsidR="000F1E93" w:rsidRDefault="000F1E93" w:rsidP="00770863">
      <w:pPr>
        <w:spacing w:before="120" w:after="120"/>
        <w:jc w:val="both"/>
      </w:pPr>
      <w:r>
        <w:t>5. Tractar que tota la informació que es mostra tingui un llenguatge planer i comprensible per a tothom. Així mateix, fer que la presentació de la informació en tot el seu conjunt sigui atractiva i amena, inviti a la consulta i ajudi a una millor comprensió.</w:t>
      </w:r>
    </w:p>
    <w:p w:rsidR="000F1E93" w:rsidRDefault="000F1E93" w:rsidP="00770863">
      <w:pPr>
        <w:spacing w:before="120" w:after="120"/>
        <w:jc w:val="both"/>
      </w:pPr>
      <w:r>
        <w:t>6. En el cas que un departament no generi certa informació i, en conseqüència, no la publiqui, intentar indicar-ho de la forma que es consideri més adequada, per tal que les persones tinguin coneixement, més encara si la informació és d’obligada publicació.</w:t>
      </w:r>
    </w:p>
    <w:p w:rsidR="00AD09F2" w:rsidRDefault="00AD09F2" w:rsidP="00770863">
      <w:pPr>
        <w:spacing w:before="120" w:after="120"/>
        <w:jc w:val="both"/>
      </w:pPr>
      <w:r>
        <w:t>7.</w:t>
      </w:r>
      <w:r w:rsidR="0090381C">
        <w:t xml:space="preserve"> Mantenir constantment actualitzades les pàgines on es troba la informació, procurant que no hi hagi dates d’actualització antigues i </w:t>
      </w:r>
      <w:proofErr w:type="spellStart"/>
      <w:r w:rsidR="0090381C">
        <w:t>desactualitzades</w:t>
      </w:r>
      <w:proofErr w:type="spellEnd"/>
      <w:r w:rsidR="0090381C">
        <w:t xml:space="preserve">. </w:t>
      </w:r>
      <w:r w:rsidR="00D3617A">
        <w:t>Per això, és important i recomanable fer constar en les pàgines departamentals sempre la informació sobre la darrera actualització, la freqüència d’actualització de la informació i el format de les dades. A ser possible, també es pot indicar la data prevista de la propera actualització.</w:t>
      </w:r>
    </w:p>
    <w:p w:rsidR="003D593A" w:rsidRDefault="003D593A" w:rsidP="00770863">
      <w:pPr>
        <w:spacing w:before="120" w:after="120"/>
        <w:jc w:val="both"/>
      </w:pPr>
      <w:r>
        <w:t>8. Sempre que sigui possible, publicar la informació en formats reutilitzables.</w:t>
      </w:r>
    </w:p>
    <w:p w:rsidR="009A5E0E" w:rsidRDefault="009A5E0E" w:rsidP="00770863">
      <w:pPr>
        <w:spacing w:before="120" w:after="120"/>
        <w:jc w:val="both"/>
      </w:pPr>
      <w:r>
        <w:t xml:space="preserve">9. En funció de la freqüència d’actualització de la informació, establir a nivell departamental </w:t>
      </w:r>
      <w:r w:rsidR="00D514CC">
        <w:t xml:space="preserve">planificació i </w:t>
      </w:r>
      <w:r>
        <w:t>calendaris de revisió periòdica i constant de les dades</w:t>
      </w:r>
      <w:r w:rsidR="00953390">
        <w:t>, i fer-ne el seguiment continu</w:t>
      </w:r>
      <w:r>
        <w:t>.</w:t>
      </w:r>
    </w:p>
    <w:p w:rsidR="00862CA5" w:rsidRDefault="00862CA5">
      <w:r>
        <w:br w:type="page"/>
      </w:r>
    </w:p>
    <w:p w:rsidR="00B80A8C" w:rsidRPr="00B80A8C" w:rsidRDefault="00655552" w:rsidP="00B80A8C">
      <w:pPr>
        <w:pStyle w:val="Ttol1"/>
        <w:rPr>
          <w:rFonts w:ascii="Arial" w:hAnsi="Arial" w:cs="Arial"/>
        </w:rPr>
      </w:pPr>
      <w:bookmarkStart w:id="58" w:name="_Toc14780385"/>
      <w:r>
        <w:rPr>
          <w:rFonts w:ascii="Arial" w:hAnsi="Arial" w:cs="Arial"/>
        </w:rPr>
        <w:t>7</w:t>
      </w:r>
      <w:r w:rsidR="00B80A8C" w:rsidRPr="00B80A8C">
        <w:rPr>
          <w:rFonts w:ascii="Arial" w:hAnsi="Arial" w:cs="Arial"/>
        </w:rPr>
        <w:t>. Annexos</w:t>
      </w:r>
      <w:bookmarkEnd w:id="58"/>
    </w:p>
    <w:p w:rsidR="00B80A8C" w:rsidRDefault="00B80A8C" w:rsidP="00CA551F">
      <w:pPr>
        <w:spacing w:before="120" w:after="120"/>
        <w:jc w:val="both"/>
        <w:rPr>
          <w:rFonts w:cs="Arial"/>
          <w:b/>
        </w:rPr>
      </w:pPr>
    </w:p>
    <w:p w:rsidR="00C5088E" w:rsidRDefault="00C5088E" w:rsidP="00CA551F">
      <w:pPr>
        <w:spacing w:before="120" w:after="120"/>
        <w:jc w:val="both"/>
        <w:rPr>
          <w:rFonts w:cs="Arial"/>
          <w:b/>
        </w:rPr>
      </w:pPr>
      <w:r>
        <w:rPr>
          <w:rFonts w:cs="Arial"/>
          <w:b/>
        </w:rPr>
        <w:t>Annex 1. Model d’avaluació</w:t>
      </w:r>
    </w:p>
    <w:bookmarkStart w:id="59" w:name="_MON_1624427523"/>
    <w:bookmarkEnd w:id="59"/>
    <w:p w:rsidR="00C5088E" w:rsidRDefault="00960324" w:rsidP="00CA551F">
      <w:pPr>
        <w:spacing w:before="120" w:after="120"/>
        <w:jc w:val="both"/>
        <w:rPr>
          <w:rFonts w:cs="Arial"/>
          <w:b/>
        </w:rPr>
      </w:pPr>
      <w:r>
        <w:rPr>
          <w:rFonts w:cs="Arial"/>
          <w:b/>
        </w:rPr>
        <w:object w:dxaOrig="1537"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9" o:title=""/>
          </v:shape>
          <o:OLEObject Type="Embed" ProgID="Word.Document.12" ShapeID="_x0000_i1025" DrawAspect="Icon" ObjectID="_1625393235" r:id="rId20">
            <o:FieldCodes>\s</o:FieldCodes>
          </o:OLEObject>
        </w:object>
      </w:r>
    </w:p>
    <w:p w:rsidR="00C5088E" w:rsidRDefault="00C5088E" w:rsidP="00CA551F">
      <w:pPr>
        <w:spacing w:before="120" w:after="120"/>
        <w:jc w:val="both"/>
        <w:rPr>
          <w:rFonts w:cs="Arial"/>
          <w:b/>
        </w:rPr>
      </w:pPr>
    </w:p>
    <w:p w:rsidR="00A33C45" w:rsidRDefault="00A33C45" w:rsidP="00CA551F">
      <w:pPr>
        <w:spacing w:before="120" w:after="120"/>
        <w:jc w:val="both"/>
        <w:rPr>
          <w:rFonts w:cs="Arial"/>
          <w:b/>
        </w:rPr>
      </w:pPr>
      <w:r>
        <w:rPr>
          <w:rFonts w:cs="Arial"/>
          <w:b/>
        </w:rPr>
        <w:t xml:space="preserve">Annex </w:t>
      </w:r>
      <w:r w:rsidR="00C5088E">
        <w:rPr>
          <w:rFonts w:cs="Arial"/>
          <w:b/>
        </w:rPr>
        <w:t>2</w:t>
      </w:r>
      <w:r>
        <w:rPr>
          <w:rFonts w:cs="Arial"/>
          <w:b/>
        </w:rPr>
        <w:t xml:space="preserve">. </w:t>
      </w:r>
      <w:r w:rsidR="00522854">
        <w:rPr>
          <w:rFonts w:cs="Arial"/>
          <w:b/>
        </w:rPr>
        <w:t>Qüestionari</w:t>
      </w:r>
      <w:r>
        <w:rPr>
          <w:rFonts w:cs="Arial"/>
          <w:b/>
        </w:rPr>
        <w:t xml:space="preserve"> d’avaluació</w:t>
      </w:r>
      <w:r w:rsidR="00522854">
        <w:rPr>
          <w:rFonts w:cs="Arial"/>
          <w:b/>
        </w:rPr>
        <w:t xml:space="preserve"> realitzat</w:t>
      </w:r>
    </w:p>
    <w:p w:rsidR="00A33C45" w:rsidRDefault="00561EF1" w:rsidP="00CA551F">
      <w:pPr>
        <w:spacing w:before="120" w:after="120"/>
        <w:jc w:val="both"/>
        <w:rPr>
          <w:rFonts w:cs="Arial"/>
          <w:b/>
        </w:rPr>
      </w:pPr>
      <w:r>
        <w:rPr>
          <w:rFonts w:cs="Arial"/>
          <w:b/>
        </w:rPr>
        <w:object w:dxaOrig="1537" w:dyaOrig="994">
          <v:shape id="_x0000_i1026" type="#_x0000_t75" style="width:76.8pt;height:49.8pt" o:ole="">
            <v:imagedata r:id="rId21" o:title=""/>
          </v:shape>
          <o:OLEObject Type="Embed" ProgID="Excel.Sheet.12" ShapeID="_x0000_i1026" DrawAspect="Icon" ObjectID="_1625393236" r:id="rId22"/>
        </w:object>
      </w:r>
    </w:p>
    <w:p w:rsidR="00A33C45" w:rsidRDefault="00A33C45" w:rsidP="00CA551F">
      <w:pPr>
        <w:spacing w:before="120" w:after="120"/>
        <w:jc w:val="both"/>
        <w:rPr>
          <w:rFonts w:cs="Arial"/>
          <w:b/>
        </w:rPr>
      </w:pPr>
    </w:p>
    <w:p w:rsidR="000A42D0" w:rsidRPr="009A3B65" w:rsidRDefault="00CA61C9" w:rsidP="00CA551F">
      <w:pPr>
        <w:spacing w:before="120" w:after="120"/>
        <w:jc w:val="both"/>
        <w:rPr>
          <w:rFonts w:cs="Arial"/>
          <w:b/>
        </w:rPr>
      </w:pPr>
      <w:r w:rsidRPr="009A3B65">
        <w:rPr>
          <w:rFonts w:cs="Arial"/>
          <w:b/>
        </w:rPr>
        <w:t xml:space="preserve">Annex </w:t>
      </w:r>
      <w:r w:rsidR="00C5088E">
        <w:rPr>
          <w:rFonts w:cs="Arial"/>
          <w:b/>
        </w:rPr>
        <w:t>3</w:t>
      </w:r>
      <w:r w:rsidRPr="009A3B65">
        <w:rPr>
          <w:rFonts w:cs="Arial"/>
          <w:b/>
        </w:rPr>
        <w:t>. Acrònims</w:t>
      </w:r>
    </w:p>
    <w:tbl>
      <w:tblPr>
        <w:tblStyle w:val="Taulaambquadrcula"/>
        <w:tblW w:w="0" w:type="auto"/>
        <w:jc w:val="center"/>
        <w:tblLook w:val="04A0" w:firstRow="1" w:lastRow="0" w:firstColumn="1" w:lastColumn="0" w:noHBand="0" w:noVBand="1"/>
      </w:tblPr>
      <w:tblGrid>
        <w:gridCol w:w="1951"/>
        <w:gridCol w:w="7088"/>
      </w:tblGrid>
      <w:tr w:rsidR="00CA61C9" w:rsidRPr="009A3B65" w:rsidTr="00897F60">
        <w:trPr>
          <w:jc w:val="center"/>
        </w:trPr>
        <w:tc>
          <w:tcPr>
            <w:tcW w:w="1951" w:type="dxa"/>
          </w:tcPr>
          <w:p w:rsidR="00CA61C9" w:rsidRPr="009A3B65" w:rsidRDefault="00CA61C9" w:rsidP="00897F60">
            <w:pPr>
              <w:jc w:val="both"/>
              <w:rPr>
                <w:rFonts w:cs="Arial"/>
                <w:b/>
              </w:rPr>
            </w:pPr>
            <w:r w:rsidRPr="009A3B65">
              <w:rPr>
                <w:rFonts w:cs="Arial"/>
                <w:b/>
              </w:rPr>
              <w:t>Acrònim</w:t>
            </w:r>
          </w:p>
        </w:tc>
        <w:tc>
          <w:tcPr>
            <w:tcW w:w="7088" w:type="dxa"/>
          </w:tcPr>
          <w:p w:rsidR="00CA61C9" w:rsidRPr="009A3B65" w:rsidRDefault="00CA61C9" w:rsidP="00897F60">
            <w:pPr>
              <w:jc w:val="both"/>
              <w:rPr>
                <w:rFonts w:cs="Arial"/>
                <w:b/>
              </w:rPr>
            </w:pPr>
            <w:r w:rsidRPr="009A3B65">
              <w:rPr>
                <w:rFonts w:cs="Arial"/>
                <w:b/>
              </w:rPr>
              <w:t>Descripció</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PRE</w:t>
            </w:r>
          </w:p>
        </w:tc>
        <w:tc>
          <w:tcPr>
            <w:tcW w:w="7088" w:type="dxa"/>
          </w:tcPr>
          <w:p w:rsidR="00CA61C9" w:rsidRPr="009A3B65" w:rsidRDefault="00CA61C9" w:rsidP="00897F60">
            <w:pPr>
              <w:jc w:val="both"/>
              <w:rPr>
                <w:rFonts w:cs="Arial"/>
              </w:rPr>
            </w:pPr>
            <w:r w:rsidRPr="009A3B65">
              <w:rPr>
                <w:rFonts w:cs="Arial"/>
              </w:rPr>
              <w:t>Departament de la Presidència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VEH</w:t>
            </w:r>
          </w:p>
        </w:tc>
        <w:tc>
          <w:tcPr>
            <w:tcW w:w="7088" w:type="dxa"/>
          </w:tcPr>
          <w:p w:rsidR="00CA61C9" w:rsidRPr="009A3B65" w:rsidRDefault="00D3058C" w:rsidP="00897F60">
            <w:pPr>
              <w:jc w:val="both"/>
              <w:rPr>
                <w:rFonts w:cs="Arial"/>
              </w:rPr>
            </w:pPr>
            <w:r w:rsidRPr="009A3B65">
              <w:rPr>
                <w:rFonts w:cs="Arial"/>
              </w:rPr>
              <w:t>Departament de la Vicepresidència i d’Economia i Hisenda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EXI</w:t>
            </w:r>
          </w:p>
        </w:tc>
        <w:tc>
          <w:tcPr>
            <w:tcW w:w="7088" w:type="dxa"/>
          </w:tcPr>
          <w:p w:rsidR="00CA61C9" w:rsidRPr="009A3B65" w:rsidRDefault="00D3058C" w:rsidP="00897F60">
            <w:pPr>
              <w:jc w:val="both"/>
              <w:rPr>
                <w:rFonts w:cs="Arial"/>
              </w:rPr>
            </w:pPr>
            <w:r w:rsidRPr="009A3B65">
              <w:rPr>
                <w:rFonts w:cs="Arial"/>
              </w:rPr>
              <w:t>Departament d’Acció Exterior, Relacions Institucionals i Transparència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PDA</w:t>
            </w:r>
          </w:p>
        </w:tc>
        <w:tc>
          <w:tcPr>
            <w:tcW w:w="7088" w:type="dxa"/>
          </w:tcPr>
          <w:p w:rsidR="00CA61C9" w:rsidRPr="009A3B65" w:rsidRDefault="00D3058C" w:rsidP="00897F60">
            <w:pPr>
              <w:jc w:val="both"/>
              <w:rPr>
                <w:rFonts w:cs="Arial"/>
              </w:rPr>
            </w:pPr>
            <w:r w:rsidRPr="009A3B65">
              <w:rPr>
                <w:rFonts w:cs="Arial"/>
              </w:rPr>
              <w:t>Departament de Polítiques Digitals i Administració Pública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ENS</w:t>
            </w:r>
          </w:p>
        </w:tc>
        <w:tc>
          <w:tcPr>
            <w:tcW w:w="7088" w:type="dxa"/>
          </w:tcPr>
          <w:p w:rsidR="00CA61C9" w:rsidRPr="009A3B65" w:rsidRDefault="00D3058C" w:rsidP="00897F60">
            <w:pPr>
              <w:jc w:val="both"/>
              <w:rPr>
                <w:rFonts w:cs="Arial"/>
              </w:rPr>
            </w:pPr>
            <w:r w:rsidRPr="009A3B65">
              <w:rPr>
                <w:rFonts w:cs="Arial"/>
              </w:rPr>
              <w:t>Departament d’Ensenyament</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CLT</w:t>
            </w:r>
          </w:p>
        </w:tc>
        <w:tc>
          <w:tcPr>
            <w:tcW w:w="7088" w:type="dxa"/>
          </w:tcPr>
          <w:p w:rsidR="00CA61C9" w:rsidRPr="009A3B65" w:rsidRDefault="00D3058C" w:rsidP="00897F60">
            <w:pPr>
              <w:jc w:val="both"/>
              <w:rPr>
                <w:rFonts w:cs="Arial"/>
              </w:rPr>
            </w:pPr>
            <w:r w:rsidRPr="009A3B65">
              <w:rPr>
                <w:rFonts w:cs="Arial"/>
              </w:rPr>
              <w:t>Departament de Cultura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JUS</w:t>
            </w:r>
          </w:p>
        </w:tc>
        <w:tc>
          <w:tcPr>
            <w:tcW w:w="7088" w:type="dxa"/>
          </w:tcPr>
          <w:p w:rsidR="00CA61C9" w:rsidRPr="009A3B65" w:rsidRDefault="00D3058C" w:rsidP="00897F60">
            <w:pPr>
              <w:jc w:val="both"/>
              <w:rPr>
                <w:rFonts w:cs="Arial"/>
              </w:rPr>
            </w:pPr>
            <w:r w:rsidRPr="009A3B65">
              <w:rPr>
                <w:rFonts w:cs="Arial"/>
              </w:rPr>
              <w:t>Departament de Justícia</w:t>
            </w:r>
          </w:p>
        </w:tc>
      </w:tr>
      <w:tr w:rsidR="00CA61C9" w:rsidRPr="009A3B65" w:rsidTr="00897F60">
        <w:trPr>
          <w:jc w:val="center"/>
        </w:trPr>
        <w:tc>
          <w:tcPr>
            <w:tcW w:w="1951" w:type="dxa"/>
          </w:tcPr>
          <w:p w:rsidR="00CA61C9" w:rsidRPr="009A3B65" w:rsidRDefault="00CA61C9" w:rsidP="00897F60">
            <w:pPr>
              <w:jc w:val="both"/>
              <w:rPr>
                <w:rFonts w:cs="Arial"/>
              </w:rPr>
            </w:pPr>
            <w:r w:rsidRPr="009A3B65">
              <w:rPr>
                <w:rFonts w:cs="Arial"/>
              </w:rPr>
              <w:t>TSF</w:t>
            </w:r>
          </w:p>
        </w:tc>
        <w:tc>
          <w:tcPr>
            <w:tcW w:w="7088" w:type="dxa"/>
          </w:tcPr>
          <w:p w:rsidR="00CA61C9" w:rsidRPr="009A3B65" w:rsidRDefault="00D3058C" w:rsidP="00897F60">
            <w:pPr>
              <w:jc w:val="both"/>
              <w:rPr>
                <w:rFonts w:cs="Arial"/>
              </w:rPr>
            </w:pPr>
            <w:r w:rsidRPr="009A3B65">
              <w:rPr>
                <w:rFonts w:cs="Arial"/>
              </w:rPr>
              <w:t>Departament de Treball, Afers Socials i Famílies</w:t>
            </w:r>
          </w:p>
        </w:tc>
      </w:tr>
      <w:tr w:rsidR="00CA61C9" w:rsidRPr="009A3B65" w:rsidTr="00897F60">
        <w:trPr>
          <w:jc w:val="center"/>
        </w:trPr>
        <w:tc>
          <w:tcPr>
            <w:tcW w:w="1951" w:type="dxa"/>
          </w:tcPr>
          <w:p w:rsidR="00CA61C9" w:rsidRPr="009A3B65" w:rsidRDefault="004D7684" w:rsidP="00897F60">
            <w:pPr>
              <w:jc w:val="both"/>
              <w:rPr>
                <w:rFonts w:cs="Arial"/>
              </w:rPr>
            </w:pPr>
            <w:r w:rsidRPr="009A3B65">
              <w:rPr>
                <w:rFonts w:cs="Arial"/>
              </w:rPr>
              <w:t>SLT</w:t>
            </w:r>
          </w:p>
        </w:tc>
        <w:tc>
          <w:tcPr>
            <w:tcW w:w="7088" w:type="dxa"/>
          </w:tcPr>
          <w:p w:rsidR="00CA61C9" w:rsidRPr="009A3B65" w:rsidRDefault="001C2924" w:rsidP="00897F60">
            <w:pPr>
              <w:jc w:val="both"/>
              <w:rPr>
                <w:rFonts w:cs="Arial"/>
              </w:rPr>
            </w:pPr>
            <w:r w:rsidRPr="009A3B65">
              <w:rPr>
                <w:rFonts w:cs="Arial"/>
              </w:rPr>
              <w:t>Departament de Salut</w:t>
            </w:r>
          </w:p>
        </w:tc>
      </w:tr>
      <w:tr w:rsidR="00CA61C9" w:rsidRPr="009A3B65" w:rsidTr="00897F60">
        <w:trPr>
          <w:jc w:val="center"/>
        </w:trPr>
        <w:tc>
          <w:tcPr>
            <w:tcW w:w="1951" w:type="dxa"/>
          </w:tcPr>
          <w:p w:rsidR="00CA61C9" w:rsidRPr="009A3B65" w:rsidRDefault="004D7684" w:rsidP="00897F60">
            <w:pPr>
              <w:jc w:val="both"/>
              <w:rPr>
                <w:rFonts w:cs="Arial"/>
              </w:rPr>
            </w:pPr>
            <w:r w:rsidRPr="009A3B65">
              <w:rPr>
                <w:rFonts w:cs="Arial"/>
              </w:rPr>
              <w:t>TES</w:t>
            </w:r>
          </w:p>
        </w:tc>
        <w:tc>
          <w:tcPr>
            <w:tcW w:w="7088" w:type="dxa"/>
          </w:tcPr>
          <w:p w:rsidR="00CA61C9" w:rsidRPr="009A3B65" w:rsidRDefault="00D3058C" w:rsidP="00897F60">
            <w:pPr>
              <w:jc w:val="both"/>
              <w:rPr>
                <w:rFonts w:cs="Arial"/>
              </w:rPr>
            </w:pPr>
            <w:r w:rsidRPr="009A3B65">
              <w:rPr>
                <w:rFonts w:cs="Arial"/>
              </w:rPr>
              <w:t>Departament de</w:t>
            </w:r>
            <w:r w:rsidR="001C2924" w:rsidRPr="009A3B65">
              <w:rPr>
                <w:rFonts w:cs="Arial"/>
              </w:rPr>
              <w:t xml:space="preserve"> Territori i Sostenibilitat</w:t>
            </w:r>
          </w:p>
        </w:tc>
      </w:tr>
      <w:tr w:rsidR="00CA61C9" w:rsidRPr="009A3B65" w:rsidTr="00897F60">
        <w:trPr>
          <w:jc w:val="center"/>
        </w:trPr>
        <w:tc>
          <w:tcPr>
            <w:tcW w:w="1951" w:type="dxa"/>
          </w:tcPr>
          <w:p w:rsidR="00CA61C9" w:rsidRPr="009A3B65" w:rsidRDefault="004D7684" w:rsidP="00897F60">
            <w:pPr>
              <w:jc w:val="both"/>
              <w:rPr>
                <w:rFonts w:cs="Arial"/>
              </w:rPr>
            </w:pPr>
            <w:r w:rsidRPr="009A3B65">
              <w:rPr>
                <w:rFonts w:cs="Arial"/>
              </w:rPr>
              <w:t>ARP</w:t>
            </w:r>
          </w:p>
        </w:tc>
        <w:tc>
          <w:tcPr>
            <w:tcW w:w="7088" w:type="dxa"/>
          </w:tcPr>
          <w:p w:rsidR="00CA61C9" w:rsidRPr="009A3B65" w:rsidRDefault="00D3058C" w:rsidP="00897F60">
            <w:pPr>
              <w:jc w:val="both"/>
              <w:rPr>
                <w:rFonts w:cs="Arial"/>
              </w:rPr>
            </w:pPr>
            <w:r w:rsidRPr="009A3B65">
              <w:rPr>
                <w:rFonts w:cs="Arial"/>
              </w:rPr>
              <w:t>Departament d’Agricultura, Ramaderia, Pesca i Alimentació</w:t>
            </w:r>
          </w:p>
        </w:tc>
      </w:tr>
      <w:tr w:rsidR="00CA61C9" w:rsidRPr="009A3B65" w:rsidTr="00897F60">
        <w:trPr>
          <w:jc w:val="center"/>
        </w:trPr>
        <w:tc>
          <w:tcPr>
            <w:tcW w:w="1951" w:type="dxa"/>
          </w:tcPr>
          <w:p w:rsidR="00CA61C9" w:rsidRPr="009A3B65" w:rsidRDefault="004D7684" w:rsidP="00897F60">
            <w:pPr>
              <w:jc w:val="both"/>
              <w:rPr>
                <w:rFonts w:cs="Arial"/>
              </w:rPr>
            </w:pPr>
            <w:r w:rsidRPr="009A3B65">
              <w:rPr>
                <w:rFonts w:cs="Arial"/>
              </w:rPr>
              <w:t>EMC</w:t>
            </w:r>
          </w:p>
        </w:tc>
        <w:tc>
          <w:tcPr>
            <w:tcW w:w="7088" w:type="dxa"/>
          </w:tcPr>
          <w:p w:rsidR="00CA61C9" w:rsidRPr="009A3B65" w:rsidRDefault="00D3058C" w:rsidP="00897F60">
            <w:pPr>
              <w:jc w:val="both"/>
              <w:rPr>
                <w:rFonts w:cs="Arial"/>
              </w:rPr>
            </w:pPr>
            <w:r w:rsidRPr="009A3B65">
              <w:rPr>
                <w:rFonts w:cs="Arial"/>
              </w:rPr>
              <w:t>Departament d’Empresa i Coneixement</w:t>
            </w:r>
          </w:p>
        </w:tc>
      </w:tr>
      <w:tr w:rsidR="00CA61C9" w:rsidRPr="009A3B65" w:rsidTr="00897F60">
        <w:trPr>
          <w:jc w:val="center"/>
        </w:trPr>
        <w:tc>
          <w:tcPr>
            <w:tcW w:w="1951" w:type="dxa"/>
          </w:tcPr>
          <w:p w:rsidR="00CA61C9" w:rsidRPr="009A3B65" w:rsidRDefault="004D7684" w:rsidP="00897F60">
            <w:pPr>
              <w:jc w:val="both"/>
              <w:rPr>
                <w:rFonts w:cs="Arial"/>
              </w:rPr>
            </w:pPr>
            <w:r w:rsidRPr="009A3B65">
              <w:rPr>
                <w:rFonts w:cs="Arial"/>
              </w:rPr>
              <w:t>INT</w:t>
            </w:r>
          </w:p>
        </w:tc>
        <w:tc>
          <w:tcPr>
            <w:tcW w:w="7088" w:type="dxa"/>
          </w:tcPr>
          <w:p w:rsidR="00CA61C9" w:rsidRPr="009A3B65" w:rsidRDefault="00D3058C" w:rsidP="00897F60">
            <w:pPr>
              <w:jc w:val="both"/>
              <w:rPr>
                <w:rFonts w:cs="Arial"/>
              </w:rPr>
            </w:pPr>
            <w:r w:rsidRPr="009A3B65">
              <w:rPr>
                <w:rFonts w:cs="Arial"/>
              </w:rPr>
              <w:t>Departament d’Interior</w:t>
            </w:r>
          </w:p>
        </w:tc>
      </w:tr>
      <w:tr w:rsidR="00CA61C9" w:rsidRPr="009A3B65" w:rsidTr="00897F60">
        <w:trPr>
          <w:jc w:val="center"/>
        </w:trPr>
        <w:tc>
          <w:tcPr>
            <w:tcW w:w="1951" w:type="dxa"/>
          </w:tcPr>
          <w:p w:rsidR="00CA61C9" w:rsidRPr="009A3B65" w:rsidRDefault="002665B6" w:rsidP="00897F60">
            <w:pPr>
              <w:jc w:val="both"/>
              <w:rPr>
                <w:rFonts w:cs="Arial"/>
              </w:rPr>
            </w:pPr>
            <w:r w:rsidRPr="009A3B65">
              <w:rPr>
                <w:rFonts w:cs="Arial"/>
              </w:rPr>
              <w:t>TOTS</w:t>
            </w:r>
          </w:p>
        </w:tc>
        <w:tc>
          <w:tcPr>
            <w:tcW w:w="7088" w:type="dxa"/>
          </w:tcPr>
          <w:p w:rsidR="00CA61C9" w:rsidRPr="009A3B65" w:rsidRDefault="002665B6" w:rsidP="00897F60">
            <w:pPr>
              <w:jc w:val="both"/>
              <w:rPr>
                <w:rFonts w:cs="Arial"/>
              </w:rPr>
            </w:pPr>
            <w:r w:rsidRPr="009A3B65">
              <w:rPr>
                <w:rFonts w:cs="Arial"/>
              </w:rPr>
              <w:t>Tots els departaments</w:t>
            </w:r>
          </w:p>
        </w:tc>
      </w:tr>
    </w:tbl>
    <w:p w:rsidR="00CA61C9" w:rsidRPr="009A3B65" w:rsidRDefault="00CA61C9" w:rsidP="00CA551F">
      <w:pPr>
        <w:spacing w:before="120" w:after="120"/>
        <w:jc w:val="both"/>
        <w:rPr>
          <w:rFonts w:cs="Arial"/>
        </w:rPr>
      </w:pPr>
    </w:p>
    <w:sectPr w:rsidR="00CA61C9" w:rsidRPr="009A3B65" w:rsidSect="00FD0F29">
      <w:headerReference w:type="even" r:id="rId23"/>
      <w:headerReference w:type="default" r:id="rId24"/>
      <w:footerReference w:type="even" r:id="rId25"/>
      <w:footerReference w:type="default" r:id="rId26"/>
      <w:headerReference w:type="first" r:id="rId27"/>
      <w:footerReference w:type="first" r:id="rId28"/>
      <w:pgSz w:w="11906" w:h="16838" w:code="9"/>
      <w:pgMar w:top="2268" w:right="1134"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9EA" w:rsidRDefault="004C69EA" w:rsidP="00BB667E">
      <w:r>
        <w:separator/>
      </w:r>
    </w:p>
  </w:endnote>
  <w:endnote w:type="continuationSeparator" w:id="0">
    <w:p w:rsidR="004C69EA" w:rsidRDefault="004C69EA"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EA" w:rsidRDefault="004C69EA">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36570"/>
      <w:docPartObj>
        <w:docPartGallery w:val="Page Numbers (Bottom of Page)"/>
        <w:docPartUnique/>
      </w:docPartObj>
    </w:sdtPr>
    <w:sdtContent>
      <w:p w:rsidR="004C69EA" w:rsidRDefault="004C69EA">
        <w:pPr>
          <w:pStyle w:val="Peu"/>
          <w:jc w:val="right"/>
        </w:pPr>
        <w:r>
          <w:fldChar w:fldCharType="begin"/>
        </w:r>
        <w:r>
          <w:instrText>PAGE   \* MERGEFORMAT</w:instrText>
        </w:r>
        <w:r>
          <w:fldChar w:fldCharType="separate"/>
        </w:r>
        <w:r w:rsidR="00D8104F">
          <w:rPr>
            <w:noProof/>
          </w:rPr>
          <w:t>19</w:t>
        </w:r>
        <w:r>
          <w:fldChar w:fldCharType="end"/>
        </w:r>
      </w:p>
    </w:sdtContent>
  </w:sdt>
  <w:p w:rsidR="004C69EA" w:rsidRDefault="004C69EA">
    <w:pPr>
      <w:pStyle w:val="Peu"/>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EA" w:rsidRDefault="004C69EA" w:rsidP="0088750A">
    <w:pPr>
      <w:tabs>
        <w:tab w:val="left" w:pos="4820"/>
      </w:tabs>
      <w:rPr>
        <w:rFonts w:cs="Arial"/>
        <w:color w:val="000000"/>
        <w:sz w:val="14"/>
      </w:rPr>
    </w:pPr>
    <w:r>
      <w:rPr>
        <w:rFonts w:cs="Arial"/>
        <w:color w:val="000000"/>
        <w:sz w:val="14"/>
      </w:rPr>
      <w:t>C. de la Tapineria, 10</w:t>
    </w:r>
  </w:p>
  <w:p w:rsidR="004C69EA" w:rsidRDefault="004C69EA" w:rsidP="0088750A">
    <w:pPr>
      <w:rPr>
        <w:rFonts w:cs="Arial"/>
        <w:color w:val="000000"/>
        <w:sz w:val="14"/>
      </w:rPr>
    </w:pPr>
    <w:r>
      <w:rPr>
        <w:rFonts w:cs="Arial"/>
        <w:color w:val="000000"/>
        <w:sz w:val="14"/>
      </w:rPr>
      <w:t>08002 Barcelona</w:t>
    </w:r>
  </w:p>
  <w:p w:rsidR="004C69EA" w:rsidRPr="0088750A" w:rsidRDefault="004C69EA" w:rsidP="0088750A">
    <w:pPr>
      <w:rPr>
        <w:rFonts w:cs="Arial"/>
        <w:color w:val="000000"/>
        <w:sz w:val="14"/>
      </w:rPr>
    </w:pPr>
    <w:r>
      <w:rPr>
        <w:rFonts w:cs="Arial"/>
        <w:color w:val="000000"/>
        <w:sz w:val="14"/>
      </w:rPr>
      <w:t xml:space="preserve">Tel. </w:t>
    </w:r>
    <w:r w:rsidRPr="00C27106">
      <w:rPr>
        <w:rFonts w:cs="Arial"/>
        <w:color w:val="000000"/>
        <w:sz w:val="14"/>
      </w:rPr>
      <w:t>93 634 74 68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9EA" w:rsidRDefault="004C69EA" w:rsidP="00BB667E">
      <w:r>
        <w:separator/>
      </w:r>
    </w:p>
  </w:footnote>
  <w:footnote w:type="continuationSeparator" w:id="0">
    <w:p w:rsidR="004C69EA" w:rsidRDefault="004C69EA" w:rsidP="00BB667E">
      <w:r>
        <w:continuationSeparator/>
      </w:r>
    </w:p>
  </w:footnote>
  <w:footnote w:id="1">
    <w:p w:rsidR="004C69EA" w:rsidRDefault="004C69EA">
      <w:pPr>
        <w:pStyle w:val="Textdenotaapeudepgina"/>
      </w:pPr>
      <w:r>
        <w:rPr>
          <w:rStyle w:val="Refernciadenotaapeudepgina"/>
        </w:rPr>
        <w:footnoteRef/>
      </w:r>
      <w:r>
        <w:t xml:space="preserve"> D’ara endavant, indistintament, LTAIPBG, Llei de Transparència, Llei 19/2014, o simplement, Llei.</w:t>
      </w:r>
    </w:p>
  </w:footnote>
  <w:footnote w:id="2">
    <w:p w:rsidR="004C69EA" w:rsidRDefault="004C69EA">
      <w:pPr>
        <w:pStyle w:val="Textdenotaapeudepgina"/>
      </w:pPr>
      <w:r>
        <w:rPr>
          <w:rStyle w:val="Refernciadenotaapeudepgina"/>
        </w:rPr>
        <w:footnoteRef/>
      </w:r>
      <w:r>
        <w:t xml:space="preserve"> A la Generalitat de Catalunya, aquest deure s’ha entès extensiu també al capítol III del títol II.</w:t>
      </w:r>
    </w:p>
  </w:footnote>
  <w:footnote w:id="3">
    <w:p w:rsidR="004C69EA" w:rsidRDefault="004C69EA" w:rsidP="00206981">
      <w:pPr>
        <w:pStyle w:val="Textdenotaapeudepgina"/>
      </w:pPr>
      <w:r>
        <w:rPr>
          <w:rStyle w:val="Refernciadenotaapeudepgina"/>
        </w:rPr>
        <w:footnoteRef/>
      </w:r>
      <w:r>
        <w:t xml:space="preserve"> Entre parèntesi, la data d’aprovació. Cal tenir en compte que, posteriorment, en reunió de la CITGO de 24 de maig, s’han aprovat 3 documents de criteris (d’aquests, un actualitza i substitueix el que fa referència a la Intervenció General; un altre, ho fa respecte dels viatges a l’estranger; i l’altre, crea el de processos temporals oberts de selecció i provisió). A l’hora de fer l’avaluació, aquests criteris no s’han tingut en compte, atès que són posteriors a l’inici de l’avaluació.</w:t>
      </w:r>
    </w:p>
  </w:footnote>
  <w:footnote w:id="4">
    <w:p w:rsidR="004C69EA" w:rsidRDefault="004C69EA" w:rsidP="00206981">
      <w:pPr>
        <w:pStyle w:val="Textdenotaapeudepgina"/>
      </w:pPr>
      <w:r>
        <w:rPr>
          <w:rStyle w:val="Refernciadenotaapeudepgina"/>
        </w:rPr>
        <w:footnoteRef/>
      </w:r>
      <w:r>
        <w:t xml:space="preserve"> Aquests criteris entren en vigor a partir del dia 5.08.2019, tal com s’estableix al document corresponent.</w:t>
      </w:r>
    </w:p>
  </w:footnote>
  <w:footnote w:id="5">
    <w:p w:rsidR="004C69EA" w:rsidRDefault="004C69EA">
      <w:pPr>
        <w:pStyle w:val="Textdenotaapeudepgina"/>
      </w:pPr>
      <w:r>
        <w:rPr>
          <w:rStyle w:val="Refernciadenotaapeudepgina"/>
        </w:rPr>
        <w:footnoteRef/>
      </w:r>
      <w:r>
        <w:t xml:space="preserve"> La</w:t>
      </w:r>
      <w:r w:rsidRPr="002E4A43">
        <w:t xml:space="preserve"> responsabilitat </w:t>
      </w:r>
      <w:r>
        <w:t>pot</w:t>
      </w:r>
      <w:r w:rsidRPr="002E4A43">
        <w:t xml:space="preserve"> canvia</w:t>
      </w:r>
      <w:r>
        <w:t xml:space="preserve">r </w:t>
      </w:r>
      <w:r w:rsidRPr="002E4A43">
        <w:t>al llarg del temps al haver-hi canvis en les competències respectives</w:t>
      </w:r>
      <w:r>
        <w:t xml:space="preserve"> dels departaments</w:t>
      </w:r>
      <w:r w:rsidRPr="002E4A43">
        <w:t>.</w:t>
      </w:r>
    </w:p>
  </w:footnote>
  <w:footnote w:id="6">
    <w:p w:rsidR="004C69EA" w:rsidRDefault="004C69EA" w:rsidP="00986CEA">
      <w:pPr>
        <w:pStyle w:val="Textdenotaapeudepgina"/>
      </w:pPr>
      <w:r>
        <w:rPr>
          <w:rStyle w:val="Refernciadenotaapeudepgina"/>
        </w:rPr>
        <w:footnoteRef/>
      </w:r>
      <w:r>
        <w:t xml:space="preserve"> Com s’ha indicat anteriorment</w:t>
      </w:r>
      <w:r>
        <w:rPr>
          <w:rFonts w:cs="Arial"/>
        </w:rPr>
        <w:t xml:space="preserve">, el Portal de Transparència s’organitza en vuit (8) apartats, cinquanta-tres (53) subapartats i cent dinou (119) epígrafs. </w:t>
      </w:r>
    </w:p>
  </w:footnote>
  <w:footnote w:id="7">
    <w:p w:rsidR="004C69EA" w:rsidRDefault="004C69EA" w:rsidP="00285E6B">
      <w:pPr>
        <w:pStyle w:val="Textdenotaapeudepgina"/>
      </w:pPr>
      <w:r>
        <w:rPr>
          <w:rStyle w:val="Refernciadenotaapeudepgina"/>
        </w:rPr>
        <w:footnoteRef/>
      </w:r>
      <w:r>
        <w:t xml:space="preserve"> Al final del document, en l’Annex 3, es mostra la descripció dels acrònims corresponents als departaments actuals de la Generalitat de Catalunya.</w:t>
      </w:r>
    </w:p>
  </w:footnote>
  <w:footnote w:id="8">
    <w:p w:rsidR="004C69EA" w:rsidRDefault="004C69EA" w:rsidP="004A6FBA">
      <w:pPr>
        <w:pStyle w:val="Textdenotaapeudepgina"/>
      </w:pPr>
      <w:r>
        <w:rPr>
          <w:rStyle w:val="Refernciadenotaapeudepgina"/>
        </w:rPr>
        <w:footnoteRef/>
      </w:r>
      <w:r>
        <w:t xml:space="preserve"> En l’Annex 1, al final del document, s’hi annexa el Model d’avaluació que s’ha fet servir per a l’avaluació.</w:t>
      </w:r>
    </w:p>
  </w:footnote>
  <w:footnote w:id="9">
    <w:p w:rsidR="004C69EA" w:rsidRDefault="004C69EA" w:rsidP="00AE44A7">
      <w:pPr>
        <w:pStyle w:val="Textdenotaapeudepgina"/>
      </w:pPr>
      <w:r>
        <w:rPr>
          <w:rStyle w:val="Refernciadenotaapeudepgina"/>
        </w:rPr>
        <w:footnoteRef/>
      </w:r>
      <w:r>
        <w:t xml:space="preserve"> Al final d’aquest document, en l’Annex 2, s’hi annexa el document Excel que s’ha utilitat per dur a terme aquesta avaluació, amb els resultats obtinguts.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EA" w:rsidRDefault="004C69EA">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EA" w:rsidRDefault="004C69EA">
    <w:pPr>
      <w:pStyle w:val="Capalera"/>
    </w:pPr>
    <w:r w:rsidRPr="00C27106">
      <w:rPr>
        <w:noProof/>
        <w:lang w:eastAsia="ca-ES"/>
      </w:rPr>
      <w:drawing>
        <wp:anchor distT="0" distB="0" distL="114300" distR="114300" simplePos="0" relativeHeight="251657728" behindDoc="0" locked="0" layoutInCell="1" allowOverlap="1" wp14:anchorId="7856471A" wp14:editId="20F2A124">
          <wp:simplePos x="0" y="0"/>
          <wp:positionH relativeFrom="page">
            <wp:posOffset>1080135</wp:posOffset>
          </wp:positionH>
          <wp:positionV relativeFrom="page">
            <wp:posOffset>360045</wp:posOffset>
          </wp:positionV>
          <wp:extent cx="1458000" cy="432000"/>
          <wp:effectExtent l="0" t="0" r="8890" b="6350"/>
          <wp:wrapSquare wrapText="bothSides"/>
          <wp:docPr id="2" name="Imatge 2" descr="D:\53632387k\Desktop\sctransgov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transgov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9EA" w:rsidRDefault="004C69EA">
    <w:pPr>
      <w:pStyle w:val="Capalera"/>
    </w:pPr>
    <w:r>
      <w:rPr>
        <w:noProof/>
        <w:lang w:eastAsia="ca-ES"/>
      </w:rPr>
      <w:drawing>
        <wp:anchor distT="0" distB="0" distL="114300" distR="114300" simplePos="0" relativeHeight="251656704" behindDoc="0" locked="0" layoutInCell="1" allowOverlap="1" wp14:anchorId="171C9CC0" wp14:editId="3FB62DD8">
          <wp:simplePos x="0" y="0"/>
          <wp:positionH relativeFrom="page">
            <wp:posOffset>733229</wp:posOffset>
          </wp:positionH>
          <wp:positionV relativeFrom="page">
            <wp:posOffset>360045</wp:posOffset>
          </wp:positionV>
          <wp:extent cx="3031200" cy="792000"/>
          <wp:effectExtent l="0" t="0" r="0" b="8255"/>
          <wp:wrapSquare wrapText="bothSides"/>
          <wp:docPr id="1" name="Imatge 1" descr="http://identitatcorporativa.gencat.cat/web/.content/Documentacio/descarregues/dpt/BN/AExterior/sctransgov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transgov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86"/>
    <w:multiLevelType w:val="hybridMultilevel"/>
    <w:tmpl w:val="030055BC"/>
    <w:lvl w:ilvl="0" w:tplc="726C189C">
      <w:start w:val="1"/>
      <w:numFmt w:val="bullet"/>
      <w:lvlText w:val=""/>
      <w:lvlJc w:val="left"/>
      <w:pPr>
        <w:ind w:left="360" w:hanging="360"/>
      </w:pPr>
      <w:rPr>
        <w:rFonts w:ascii="Symbol" w:hAnsi="Symbol" w:hint="default"/>
        <w:color w:val="EEECE1" w:themeColor="background2"/>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94E1C85"/>
    <w:multiLevelType w:val="hybridMultilevel"/>
    <w:tmpl w:val="886E8136"/>
    <w:lvl w:ilvl="0" w:tplc="0C0A0001">
      <w:start w:val="1"/>
      <w:numFmt w:val="bullet"/>
      <w:lvlText w:val=""/>
      <w:lvlJc w:val="left"/>
      <w:pPr>
        <w:ind w:left="360" w:hanging="360"/>
      </w:pPr>
      <w:rPr>
        <w:rFonts w:ascii="Symbol" w:hAnsi="Symbol" w:hint="default"/>
      </w:rPr>
    </w:lvl>
    <w:lvl w:ilvl="1" w:tplc="DE68EAD0">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680981"/>
    <w:multiLevelType w:val="hybridMultilevel"/>
    <w:tmpl w:val="B554C6D2"/>
    <w:lvl w:ilvl="0" w:tplc="EC3682E4">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E8F354A"/>
    <w:multiLevelType w:val="hybridMultilevel"/>
    <w:tmpl w:val="AAA8A380"/>
    <w:lvl w:ilvl="0" w:tplc="04B2922C">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12ED4ADF"/>
    <w:multiLevelType w:val="hybridMultilevel"/>
    <w:tmpl w:val="5E263A6A"/>
    <w:lvl w:ilvl="0" w:tplc="79FAE5E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933611B"/>
    <w:multiLevelType w:val="hybridMultilevel"/>
    <w:tmpl w:val="1C346BEC"/>
    <w:lvl w:ilvl="0" w:tplc="C8F63C8C">
      <w:start w:val="1"/>
      <w:numFmt w:val="bullet"/>
      <w:lvlText w:val=""/>
      <w:lvlJc w:val="left"/>
      <w:pPr>
        <w:ind w:left="1542" w:hanging="705"/>
      </w:pPr>
      <w:rPr>
        <w:rFonts w:ascii="Symbol" w:hAnsi="Symbol" w:hint="default"/>
        <w:color w:val="auto"/>
      </w:rPr>
    </w:lvl>
    <w:lvl w:ilvl="1" w:tplc="04030019" w:tentative="1">
      <w:start w:val="1"/>
      <w:numFmt w:val="lowerLetter"/>
      <w:lvlText w:val="%2."/>
      <w:lvlJc w:val="left"/>
      <w:pPr>
        <w:ind w:left="1917" w:hanging="360"/>
      </w:pPr>
    </w:lvl>
    <w:lvl w:ilvl="2" w:tplc="0403001B" w:tentative="1">
      <w:start w:val="1"/>
      <w:numFmt w:val="lowerRoman"/>
      <w:lvlText w:val="%3."/>
      <w:lvlJc w:val="right"/>
      <w:pPr>
        <w:ind w:left="2637" w:hanging="180"/>
      </w:pPr>
    </w:lvl>
    <w:lvl w:ilvl="3" w:tplc="0403000F" w:tentative="1">
      <w:start w:val="1"/>
      <w:numFmt w:val="decimal"/>
      <w:lvlText w:val="%4."/>
      <w:lvlJc w:val="left"/>
      <w:pPr>
        <w:ind w:left="3357" w:hanging="360"/>
      </w:pPr>
    </w:lvl>
    <w:lvl w:ilvl="4" w:tplc="04030019" w:tentative="1">
      <w:start w:val="1"/>
      <w:numFmt w:val="lowerLetter"/>
      <w:lvlText w:val="%5."/>
      <w:lvlJc w:val="left"/>
      <w:pPr>
        <w:ind w:left="4077" w:hanging="360"/>
      </w:pPr>
    </w:lvl>
    <w:lvl w:ilvl="5" w:tplc="0403001B" w:tentative="1">
      <w:start w:val="1"/>
      <w:numFmt w:val="lowerRoman"/>
      <w:lvlText w:val="%6."/>
      <w:lvlJc w:val="right"/>
      <w:pPr>
        <w:ind w:left="4797" w:hanging="180"/>
      </w:pPr>
    </w:lvl>
    <w:lvl w:ilvl="6" w:tplc="0403000F" w:tentative="1">
      <w:start w:val="1"/>
      <w:numFmt w:val="decimal"/>
      <w:lvlText w:val="%7."/>
      <w:lvlJc w:val="left"/>
      <w:pPr>
        <w:ind w:left="5517" w:hanging="360"/>
      </w:pPr>
    </w:lvl>
    <w:lvl w:ilvl="7" w:tplc="04030019" w:tentative="1">
      <w:start w:val="1"/>
      <w:numFmt w:val="lowerLetter"/>
      <w:lvlText w:val="%8."/>
      <w:lvlJc w:val="left"/>
      <w:pPr>
        <w:ind w:left="6237" w:hanging="360"/>
      </w:pPr>
    </w:lvl>
    <w:lvl w:ilvl="8" w:tplc="0403001B" w:tentative="1">
      <w:start w:val="1"/>
      <w:numFmt w:val="lowerRoman"/>
      <w:lvlText w:val="%9."/>
      <w:lvlJc w:val="right"/>
      <w:pPr>
        <w:ind w:left="6957" w:hanging="180"/>
      </w:pPr>
    </w:lvl>
  </w:abstractNum>
  <w:abstractNum w:abstractNumId="6" w15:restartNumberingAfterBreak="0">
    <w:nsid w:val="1BDB44E4"/>
    <w:multiLevelType w:val="hybridMultilevel"/>
    <w:tmpl w:val="9F34287A"/>
    <w:lvl w:ilvl="0" w:tplc="828011F8">
      <w:start w:val="1"/>
      <w:numFmt w:val="bullet"/>
      <w:lvlText w:val=""/>
      <w:lvlJc w:val="left"/>
      <w:pPr>
        <w:ind w:left="720" w:hanging="360"/>
      </w:pPr>
      <w:rPr>
        <w:rFonts w:ascii="Symbol" w:hAnsi="Symbol" w:hint="default"/>
        <w:color w:val="auto"/>
      </w:rPr>
    </w:lvl>
    <w:lvl w:ilvl="1" w:tplc="4E021C02">
      <w:start w:val="1"/>
      <w:numFmt w:val="bullet"/>
      <w:lvlText w:val="o"/>
      <w:lvlJc w:val="left"/>
      <w:pPr>
        <w:ind w:left="1440" w:hanging="360"/>
      </w:pPr>
      <w:rPr>
        <w:rFonts w:ascii="Courier New" w:hAnsi="Courier New" w:cs="Courier New" w:hint="default"/>
        <w:color w:val="auto"/>
      </w:rPr>
    </w:lvl>
    <w:lvl w:ilvl="2" w:tplc="7D90633C">
      <w:start w:val="3"/>
      <w:numFmt w:val="bullet"/>
      <w:lvlText w:val="-"/>
      <w:lvlJc w:val="left"/>
      <w:pPr>
        <w:ind w:left="2160" w:hanging="360"/>
      </w:pPr>
      <w:rPr>
        <w:rFonts w:ascii="Calibri" w:eastAsiaTheme="minorHAnsi" w:hAnsi="Calibri" w:cstheme="minorBid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0DF369B"/>
    <w:multiLevelType w:val="hybridMultilevel"/>
    <w:tmpl w:val="9B9E7C40"/>
    <w:lvl w:ilvl="0" w:tplc="46F8F4A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2141BFE"/>
    <w:multiLevelType w:val="hybridMultilevel"/>
    <w:tmpl w:val="3F5CF586"/>
    <w:lvl w:ilvl="0" w:tplc="C8F63C8C">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2C5150C2"/>
    <w:multiLevelType w:val="hybridMultilevel"/>
    <w:tmpl w:val="D8BE817E"/>
    <w:lvl w:ilvl="0" w:tplc="C8F63C8C">
      <w:start w:val="1"/>
      <w:numFmt w:val="bullet"/>
      <w:lvlText w:val=""/>
      <w:lvlJc w:val="left"/>
      <w:pPr>
        <w:ind w:left="360" w:hanging="360"/>
      </w:pPr>
      <w:rPr>
        <w:rFonts w:ascii="Symbol" w:hAnsi="Symbol" w:hint="default"/>
        <w:b w:val="0"/>
        <w:i w:val="0"/>
        <w:color w:val="auto"/>
      </w:rPr>
    </w:lvl>
    <w:lvl w:ilvl="1" w:tplc="836AFF50">
      <w:start w:val="1"/>
      <w:numFmt w:val="bullet"/>
      <w:lvlText w:val="o"/>
      <w:lvlJc w:val="left"/>
      <w:pPr>
        <w:ind w:left="1080" w:hanging="360"/>
      </w:pPr>
      <w:rPr>
        <w:rFonts w:ascii="Courier New" w:hAnsi="Courier New" w:cs="Courier New" w:hint="default"/>
        <w:color w:val="4F81BD" w:themeColor="accent1"/>
      </w:rPr>
    </w:lvl>
    <w:lvl w:ilvl="2" w:tplc="77B836AA">
      <w:start w:val="1"/>
      <w:numFmt w:val="bullet"/>
      <w:lvlText w:val=""/>
      <w:lvlJc w:val="left"/>
      <w:pPr>
        <w:ind w:left="1800" w:hanging="360"/>
      </w:pPr>
      <w:rPr>
        <w:rFonts w:ascii="Wingdings" w:hAnsi="Wingdings" w:hint="default"/>
        <w:color w:val="4F81BD" w:themeColor="accent1"/>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0" w15:restartNumberingAfterBreak="0">
    <w:nsid w:val="2CA315B0"/>
    <w:multiLevelType w:val="hybridMultilevel"/>
    <w:tmpl w:val="7F0C77EC"/>
    <w:lvl w:ilvl="0" w:tplc="C8F63C8C">
      <w:start w:val="1"/>
      <w:numFmt w:val="bullet"/>
      <w:lvlText w:val=""/>
      <w:lvlJc w:val="left"/>
      <w:pPr>
        <w:ind w:left="360" w:hanging="360"/>
      </w:pPr>
      <w:rPr>
        <w:rFonts w:ascii="Symbol" w:hAnsi="Symbol"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2FE0684F"/>
    <w:multiLevelType w:val="hybridMultilevel"/>
    <w:tmpl w:val="C8AE4BD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30F7C5F"/>
    <w:multiLevelType w:val="hybridMultilevel"/>
    <w:tmpl w:val="636829B6"/>
    <w:lvl w:ilvl="0" w:tplc="81867B1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7027AAD"/>
    <w:multiLevelType w:val="multilevel"/>
    <w:tmpl w:val="CA583EAC"/>
    <w:lvl w:ilvl="0">
      <w:start w:val="1"/>
      <w:numFmt w:val="decimal"/>
      <w:lvlText w:val="%1."/>
      <w:lvlJc w:val="left"/>
      <w:pPr>
        <w:ind w:left="720" w:hanging="360"/>
      </w:pPr>
      <w:rPr>
        <w:rFonts w:hint="default"/>
        <w:b w:val="0"/>
        <w:i w:val="0"/>
        <w:color w:val="1F497D" w:themeColor="text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0B4DD1"/>
    <w:multiLevelType w:val="hybridMultilevel"/>
    <w:tmpl w:val="C2A81922"/>
    <w:lvl w:ilvl="0" w:tplc="7C88DF50">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37284043"/>
    <w:multiLevelType w:val="hybridMultilevel"/>
    <w:tmpl w:val="F312A2D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0B1113F"/>
    <w:multiLevelType w:val="hybridMultilevel"/>
    <w:tmpl w:val="8C9CBC40"/>
    <w:lvl w:ilvl="0" w:tplc="C8F63C8C">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4B413D07"/>
    <w:multiLevelType w:val="hybridMultilevel"/>
    <w:tmpl w:val="CC08F8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A1B100B"/>
    <w:multiLevelType w:val="hybridMultilevel"/>
    <w:tmpl w:val="78F243F0"/>
    <w:lvl w:ilvl="0" w:tplc="A4F248F0">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5B117403"/>
    <w:multiLevelType w:val="hybridMultilevel"/>
    <w:tmpl w:val="C8CA7C6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5B7F6659"/>
    <w:multiLevelType w:val="hybridMultilevel"/>
    <w:tmpl w:val="49709E1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11661A8"/>
    <w:multiLevelType w:val="hybridMultilevel"/>
    <w:tmpl w:val="3CC4B7F6"/>
    <w:lvl w:ilvl="0" w:tplc="C6369B2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61C62813"/>
    <w:multiLevelType w:val="hybridMultilevel"/>
    <w:tmpl w:val="A20C4118"/>
    <w:lvl w:ilvl="0" w:tplc="C25A82C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63382082"/>
    <w:multiLevelType w:val="hybridMultilevel"/>
    <w:tmpl w:val="FC90B7A4"/>
    <w:lvl w:ilvl="0" w:tplc="C3ECAD24">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63BE4E8B"/>
    <w:multiLevelType w:val="hybridMultilevel"/>
    <w:tmpl w:val="F8AA151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73B044C"/>
    <w:multiLevelType w:val="hybridMultilevel"/>
    <w:tmpl w:val="14600DF4"/>
    <w:lvl w:ilvl="0" w:tplc="04030003">
      <w:start w:val="1"/>
      <w:numFmt w:val="bullet"/>
      <w:lvlText w:val="o"/>
      <w:lvlJc w:val="left"/>
      <w:pPr>
        <w:ind w:left="1080" w:hanging="360"/>
      </w:pPr>
      <w:rPr>
        <w:rFonts w:ascii="Courier New" w:hAnsi="Courier New" w:cs="Courier New"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67C24E0C"/>
    <w:multiLevelType w:val="hybridMultilevel"/>
    <w:tmpl w:val="B6709C1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A190D75"/>
    <w:multiLevelType w:val="hybridMultilevel"/>
    <w:tmpl w:val="8FB8FAB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8" w15:restartNumberingAfterBreak="0">
    <w:nsid w:val="6F887655"/>
    <w:multiLevelType w:val="hybridMultilevel"/>
    <w:tmpl w:val="DBE432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716B5FD3"/>
    <w:multiLevelType w:val="hybridMultilevel"/>
    <w:tmpl w:val="B9B4B7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0" w15:restartNumberingAfterBreak="0">
    <w:nsid w:val="75132DBC"/>
    <w:multiLevelType w:val="hybridMultilevel"/>
    <w:tmpl w:val="39B65F40"/>
    <w:lvl w:ilvl="0" w:tplc="65002912">
      <w:start w:val="1"/>
      <w:numFmt w:val="decimal"/>
      <w:lvlText w:val="%1."/>
      <w:lvlJc w:val="left"/>
      <w:pPr>
        <w:ind w:left="360" w:hanging="360"/>
      </w:pPr>
      <w:rPr>
        <w:rFonts w:hint="default"/>
        <w:b w:val="0"/>
        <w:i w:val="0"/>
        <w:color w:val="1F497D" w:themeColor="text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1" w15:restartNumberingAfterBreak="0">
    <w:nsid w:val="758B279C"/>
    <w:multiLevelType w:val="hybridMultilevel"/>
    <w:tmpl w:val="F60E1ED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2" w15:restartNumberingAfterBreak="0">
    <w:nsid w:val="758D7C70"/>
    <w:multiLevelType w:val="hybridMultilevel"/>
    <w:tmpl w:val="056070BC"/>
    <w:lvl w:ilvl="0" w:tplc="C9F2D0E8">
      <w:start w:val="1"/>
      <w:numFmt w:val="bullet"/>
      <w:lvlText w:val=""/>
      <w:lvlJc w:val="left"/>
      <w:pPr>
        <w:ind w:left="360" w:hanging="360"/>
      </w:pPr>
      <w:rPr>
        <w:rFonts w:ascii="Symbol" w:hAnsi="Symbol" w:hint="default"/>
        <w:color w:val="auto"/>
      </w:rPr>
    </w:lvl>
    <w:lvl w:ilvl="1" w:tplc="7B3AEDE8">
      <w:start w:val="1"/>
      <w:numFmt w:val="bullet"/>
      <w:lvlText w:val="o"/>
      <w:lvlJc w:val="left"/>
      <w:pPr>
        <w:ind w:left="1080" w:hanging="360"/>
      </w:pPr>
      <w:rPr>
        <w:rFonts w:ascii="Courier New" w:hAnsi="Courier New" w:cs="Courier New" w:hint="default"/>
        <w:color w:val="auto"/>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15:restartNumberingAfterBreak="0">
    <w:nsid w:val="7C337E4C"/>
    <w:multiLevelType w:val="hybridMultilevel"/>
    <w:tmpl w:val="F072090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4" w15:restartNumberingAfterBreak="0">
    <w:nsid w:val="7F203A4A"/>
    <w:multiLevelType w:val="hybridMultilevel"/>
    <w:tmpl w:val="AD7CDE14"/>
    <w:lvl w:ilvl="0" w:tplc="828011F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20"/>
  </w:num>
  <w:num w:numId="7">
    <w:abstractNumId w:val="24"/>
  </w:num>
  <w:num w:numId="8">
    <w:abstractNumId w:val="11"/>
  </w:num>
  <w:num w:numId="9">
    <w:abstractNumId w:val="5"/>
  </w:num>
  <w:num w:numId="10">
    <w:abstractNumId w:val="0"/>
  </w:num>
  <w:num w:numId="11">
    <w:abstractNumId w:val="9"/>
  </w:num>
  <w:num w:numId="12">
    <w:abstractNumId w:val="12"/>
  </w:num>
  <w:num w:numId="13">
    <w:abstractNumId w:val="4"/>
  </w:num>
  <w:num w:numId="14">
    <w:abstractNumId w:val="3"/>
  </w:num>
  <w:num w:numId="15">
    <w:abstractNumId w:val="21"/>
  </w:num>
  <w:num w:numId="16">
    <w:abstractNumId w:val="23"/>
  </w:num>
  <w:num w:numId="17">
    <w:abstractNumId w:val="32"/>
  </w:num>
  <w:num w:numId="18">
    <w:abstractNumId w:val="18"/>
  </w:num>
  <w:num w:numId="19">
    <w:abstractNumId w:val="2"/>
  </w:num>
  <w:num w:numId="20">
    <w:abstractNumId w:val="14"/>
  </w:num>
  <w:num w:numId="21">
    <w:abstractNumId w:val="7"/>
  </w:num>
  <w:num w:numId="22">
    <w:abstractNumId w:val="22"/>
  </w:num>
  <w:num w:numId="23">
    <w:abstractNumId w:val="16"/>
  </w:num>
  <w:num w:numId="24">
    <w:abstractNumId w:val="10"/>
  </w:num>
  <w:num w:numId="25">
    <w:abstractNumId w:val="8"/>
  </w:num>
  <w:num w:numId="26">
    <w:abstractNumId w:val="33"/>
  </w:num>
  <w:num w:numId="27">
    <w:abstractNumId w:val="19"/>
  </w:num>
  <w:num w:numId="28">
    <w:abstractNumId w:val="25"/>
  </w:num>
  <w:num w:numId="29">
    <w:abstractNumId w:val="34"/>
  </w:num>
  <w:num w:numId="30">
    <w:abstractNumId w:val="30"/>
  </w:num>
  <w:num w:numId="31">
    <w:abstractNumId w:val="1"/>
  </w:num>
  <w:num w:numId="32">
    <w:abstractNumId w:val="28"/>
  </w:num>
  <w:num w:numId="33">
    <w:abstractNumId w:val="31"/>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removePersonalInformation/>
  <w:removeDateAndTime/>
  <w:proofState w:spelling="clean" w:grammar="clean"/>
  <w:attachedTemplate r:id="rId1"/>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00260"/>
    <w:rsid w:val="00001C66"/>
    <w:rsid w:val="00002793"/>
    <w:rsid w:val="00012C0F"/>
    <w:rsid w:val="0001780D"/>
    <w:rsid w:val="00031809"/>
    <w:rsid w:val="00031A89"/>
    <w:rsid w:val="00034826"/>
    <w:rsid w:val="00037831"/>
    <w:rsid w:val="0004029C"/>
    <w:rsid w:val="0004730A"/>
    <w:rsid w:val="00051604"/>
    <w:rsid w:val="000625AC"/>
    <w:rsid w:val="000641FA"/>
    <w:rsid w:val="000655DE"/>
    <w:rsid w:val="00065D35"/>
    <w:rsid w:val="000676E8"/>
    <w:rsid w:val="00076591"/>
    <w:rsid w:val="00080101"/>
    <w:rsid w:val="000816A7"/>
    <w:rsid w:val="00085ED4"/>
    <w:rsid w:val="00087FC5"/>
    <w:rsid w:val="0009190F"/>
    <w:rsid w:val="00091CCD"/>
    <w:rsid w:val="00093F60"/>
    <w:rsid w:val="000A09F1"/>
    <w:rsid w:val="000A41E2"/>
    <w:rsid w:val="000A42D0"/>
    <w:rsid w:val="000A562E"/>
    <w:rsid w:val="000B278F"/>
    <w:rsid w:val="000B2B73"/>
    <w:rsid w:val="000B3C94"/>
    <w:rsid w:val="000B62F7"/>
    <w:rsid w:val="000C5166"/>
    <w:rsid w:val="000C58E7"/>
    <w:rsid w:val="000C596A"/>
    <w:rsid w:val="000D3736"/>
    <w:rsid w:val="000F1E93"/>
    <w:rsid w:val="000F2158"/>
    <w:rsid w:val="000F5D7D"/>
    <w:rsid w:val="000F66F2"/>
    <w:rsid w:val="00105C9E"/>
    <w:rsid w:val="00115297"/>
    <w:rsid w:val="001230E1"/>
    <w:rsid w:val="00125607"/>
    <w:rsid w:val="0012589B"/>
    <w:rsid w:val="00127824"/>
    <w:rsid w:val="0013266F"/>
    <w:rsid w:val="0013395D"/>
    <w:rsid w:val="00137F89"/>
    <w:rsid w:val="001424C2"/>
    <w:rsid w:val="00142919"/>
    <w:rsid w:val="00154FAC"/>
    <w:rsid w:val="00177469"/>
    <w:rsid w:val="00181F28"/>
    <w:rsid w:val="001832AB"/>
    <w:rsid w:val="00184C6B"/>
    <w:rsid w:val="00186BCE"/>
    <w:rsid w:val="00197C72"/>
    <w:rsid w:val="001A1FA6"/>
    <w:rsid w:val="001A36F0"/>
    <w:rsid w:val="001A6A71"/>
    <w:rsid w:val="001B0DE1"/>
    <w:rsid w:val="001B1AA8"/>
    <w:rsid w:val="001B370B"/>
    <w:rsid w:val="001C203A"/>
    <w:rsid w:val="001C2924"/>
    <w:rsid w:val="001D10D7"/>
    <w:rsid w:val="001E0105"/>
    <w:rsid w:val="001E6CC5"/>
    <w:rsid w:val="001E7BB4"/>
    <w:rsid w:val="001F0C0F"/>
    <w:rsid w:val="00203061"/>
    <w:rsid w:val="00203B0A"/>
    <w:rsid w:val="00205A92"/>
    <w:rsid w:val="00206981"/>
    <w:rsid w:val="002101AF"/>
    <w:rsid w:val="002120F2"/>
    <w:rsid w:val="00215A19"/>
    <w:rsid w:val="0022056B"/>
    <w:rsid w:val="00220885"/>
    <w:rsid w:val="00222F08"/>
    <w:rsid w:val="00231107"/>
    <w:rsid w:val="002369AE"/>
    <w:rsid w:val="00241CDB"/>
    <w:rsid w:val="002421D2"/>
    <w:rsid w:val="00251627"/>
    <w:rsid w:val="0025237F"/>
    <w:rsid w:val="0025414E"/>
    <w:rsid w:val="002570F5"/>
    <w:rsid w:val="002577BA"/>
    <w:rsid w:val="00262308"/>
    <w:rsid w:val="0026247A"/>
    <w:rsid w:val="002665B6"/>
    <w:rsid w:val="00267303"/>
    <w:rsid w:val="00273A15"/>
    <w:rsid w:val="0027693C"/>
    <w:rsid w:val="00285E6B"/>
    <w:rsid w:val="002927C6"/>
    <w:rsid w:val="0029568D"/>
    <w:rsid w:val="002958BE"/>
    <w:rsid w:val="002A123C"/>
    <w:rsid w:val="002B150A"/>
    <w:rsid w:val="002B17DF"/>
    <w:rsid w:val="002B1CA6"/>
    <w:rsid w:val="002B4D19"/>
    <w:rsid w:val="002C5264"/>
    <w:rsid w:val="002E1FD3"/>
    <w:rsid w:val="002E3F38"/>
    <w:rsid w:val="002E4A43"/>
    <w:rsid w:val="002E4F27"/>
    <w:rsid w:val="002E5869"/>
    <w:rsid w:val="002E6A1C"/>
    <w:rsid w:val="003110E1"/>
    <w:rsid w:val="00312CAC"/>
    <w:rsid w:val="003202FF"/>
    <w:rsid w:val="0032200E"/>
    <w:rsid w:val="00325A7F"/>
    <w:rsid w:val="00327635"/>
    <w:rsid w:val="0033141F"/>
    <w:rsid w:val="00331CE5"/>
    <w:rsid w:val="00344BD4"/>
    <w:rsid w:val="00346808"/>
    <w:rsid w:val="00347528"/>
    <w:rsid w:val="003559B3"/>
    <w:rsid w:val="00360EEB"/>
    <w:rsid w:val="00365C39"/>
    <w:rsid w:val="00366128"/>
    <w:rsid w:val="00373D03"/>
    <w:rsid w:val="00375BF5"/>
    <w:rsid w:val="003847A6"/>
    <w:rsid w:val="003870D1"/>
    <w:rsid w:val="003901E7"/>
    <w:rsid w:val="00396F4C"/>
    <w:rsid w:val="003A2864"/>
    <w:rsid w:val="003A5A1D"/>
    <w:rsid w:val="003B047B"/>
    <w:rsid w:val="003B62E2"/>
    <w:rsid w:val="003B7E17"/>
    <w:rsid w:val="003C39B5"/>
    <w:rsid w:val="003D238F"/>
    <w:rsid w:val="003D36CF"/>
    <w:rsid w:val="003D593A"/>
    <w:rsid w:val="003D5C25"/>
    <w:rsid w:val="003E1BBB"/>
    <w:rsid w:val="003E25A3"/>
    <w:rsid w:val="003E361C"/>
    <w:rsid w:val="003E4864"/>
    <w:rsid w:val="003F16AE"/>
    <w:rsid w:val="003F382E"/>
    <w:rsid w:val="003F3E7F"/>
    <w:rsid w:val="003F4057"/>
    <w:rsid w:val="004047C4"/>
    <w:rsid w:val="004107CE"/>
    <w:rsid w:val="00414912"/>
    <w:rsid w:val="00416C9C"/>
    <w:rsid w:val="00417864"/>
    <w:rsid w:val="00420988"/>
    <w:rsid w:val="004241D0"/>
    <w:rsid w:val="004337B0"/>
    <w:rsid w:val="00440D26"/>
    <w:rsid w:val="0044198A"/>
    <w:rsid w:val="00441E4E"/>
    <w:rsid w:val="00442A64"/>
    <w:rsid w:val="004458E3"/>
    <w:rsid w:val="00445D83"/>
    <w:rsid w:val="00453777"/>
    <w:rsid w:val="00454185"/>
    <w:rsid w:val="0046540E"/>
    <w:rsid w:val="0046640B"/>
    <w:rsid w:val="004701AA"/>
    <w:rsid w:val="004712D6"/>
    <w:rsid w:val="00474A1B"/>
    <w:rsid w:val="00482E59"/>
    <w:rsid w:val="004920D7"/>
    <w:rsid w:val="0049247B"/>
    <w:rsid w:val="00493293"/>
    <w:rsid w:val="00495477"/>
    <w:rsid w:val="00497249"/>
    <w:rsid w:val="00497C54"/>
    <w:rsid w:val="004A3579"/>
    <w:rsid w:val="004A51D7"/>
    <w:rsid w:val="004A6FBA"/>
    <w:rsid w:val="004B105D"/>
    <w:rsid w:val="004B1FD2"/>
    <w:rsid w:val="004B617D"/>
    <w:rsid w:val="004C3BEA"/>
    <w:rsid w:val="004C409C"/>
    <w:rsid w:val="004C69EA"/>
    <w:rsid w:val="004D0060"/>
    <w:rsid w:val="004D38AB"/>
    <w:rsid w:val="004D7684"/>
    <w:rsid w:val="004E0258"/>
    <w:rsid w:val="004E04BE"/>
    <w:rsid w:val="004E1E62"/>
    <w:rsid w:val="004E2AF2"/>
    <w:rsid w:val="004F2196"/>
    <w:rsid w:val="004F36EE"/>
    <w:rsid w:val="004F7720"/>
    <w:rsid w:val="00501343"/>
    <w:rsid w:val="00503178"/>
    <w:rsid w:val="00504B79"/>
    <w:rsid w:val="00507086"/>
    <w:rsid w:val="00507163"/>
    <w:rsid w:val="005137C2"/>
    <w:rsid w:val="00514ACF"/>
    <w:rsid w:val="00520324"/>
    <w:rsid w:val="005226BB"/>
    <w:rsid w:val="00522854"/>
    <w:rsid w:val="00533DB7"/>
    <w:rsid w:val="00535F17"/>
    <w:rsid w:val="00536525"/>
    <w:rsid w:val="005373F7"/>
    <w:rsid w:val="0054041F"/>
    <w:rsid w:val="0054175B"/>
    <w:rsid w:val="0054459D"/>
    <w:rsid w:val="00552AE1"/>
    <w:rsid w:val="005534F4"/>
    <w:rsid w:val="005609BE"/>
    <w:rsid w:val="0056174D"/>
    <w:rsid w:val="00561EF1"/>
    <w:rsid w:val="0056260C"/>
    <w:rsid w:val="00565DE5"/>
    <w:rsid w:val="00567D67"/>
    <w:rsid w:val="00573A5B"/>
    <w:rsid w:val="00583AB3"/>
    <w:rsid w:val="005A100E"/>
    <w:rsid w:val="005A4E0A"/>
    <w:rsid w:val="005A7B71"/>
    <w:rsid w:val="005B7167"/>
    <w:rsid w:val="005C125F"/>
    <w:rsid w:val="005C1FE5"/>
    <w:rsid w:val="005D24E3"/>
    <w:rsid w:val="005D3D30"/>
    <w:rsid w:val="005D3E61"/>
    <w:rsid w:val="005D4DA4"/>
    <w:rsid w:val="005D7383"/>
    <w:rsid w:val="005E4754"/>
    <w:rsid w:val="005E5158"/>
    <w:rsid w:val="005E56C0"/>
    <w:rsid w:val="005E5B8E"/>
    <w:rsid w:val="005E6354"/>
    <w:rsid w:val="005F00E2"/>
    <w:rsid w:val="005F0DB0"/>
    <w:rsid w:val="005F164B"/>
    <w:rsid w:val="005F1AA1"/>
    <w:rsid w:val="005F3AC2"/>
    <w:rsid w:val="005F4726"/>
    <w:rsid w:val="005F621D"/>
    <w:rsid w:val="005F63B4"/>
    <w:rsid w:val="00600C5E"/>
    <w:rsid w:val="0061108A"/>
    <w:rsid w:val="0061267D"/>
    <w:rsid w:val="00613A19"/>
    <w:rsid w:val="006201ED"/>
    <w:rsid w:val="00623BB7"/>
    <w:rsid w:val="0062466C"/>
    <w:rsid w:val="006367F9"/>
    <w:rsid w:val="006504E4"/>
    <w:rsid w:val="00654A2B"/>
    <w:rsid w:val="00655552"/>
    <w:rsid w:val="00664201"/>
    <w:rsid w:val="00671B73"/>
    <w:rsid w:val="00671DB2"/>
    <w:rsid w:val="006807B4"/>
    <w:rsid w:val="00680AB0"/>
    <w:rsid w:val="00682560"/>
    <w:rsid w:val="006852AD"/>
    <w:rsid w:val="00691F9A"/>
    <w:rsid w:val="0069355E"/>
    <w:rsid w:val="00693F80"/>
    <w:rsid w:val="00695F07"/>
    <w:rsid w:val="006A3059"/>
    <w:rsid w:val="006A486F"/>
    <w:rsid w:val="006B0D68"/>
    <w:rsid w:val="006B7953"/>
    <w:rsid w:val="006C2051"/>
    <w:rsid w:val="006C269A"/>
    <w:rsid w:val="006C44CB"/>
    <w:rsid w:val="006C4A01"/>
    <w:rsid w:val="006C67BC"/>
    <w:rsid w:val="006C6C75"/>
    <w:rsid w:val="006C6DFE"/>
    <w:rsid w:val="006D6D2F"/>
    <w:rsid w:val="006D7B67"/>
    <w:rsid w:val="006E1158"/>
    <w:rsid w:val="006E1A6D"/>
    <w:rsid w:val="006E2860"/>
    <w:rsid w:val="006E5114"/>
    <w:rsid w:val="006E5EBC"/>
    <w:rsid w:val="006F03B3"/>
    <w:rsid w:val="006F12FA"/>
    <w:rsid w:val="006F1C9A"/>
    <w:rsid w:val="006F551B"/>
    <w:rsid w:val="006F5EB6"/>
    <w:rsid w:val="006F739D"/>
    <w:rsid w:val="006F7485"/>
    <w:rsid w:val="00701C1D"/>
    <w:rsid w:val="00704AC3"/>
    <w:rsid w:val="00706333"/>
    <w:rsid w:val="00707330"/>
    <w:rsid w:val="0071141B"/>
    <w:rsid w:val="00711C51"/>
    <w:rsid w:val="0071522B"/>
    <w:rsid w:val="00717024"/>
    <w:rsid w:val="007260C2"/>
    <w:rsid w:val="00731498"/>
    <w:rsid w:val="0073263D"/>
    <w:rsid w:val="0073389B"/>
    <w:rsid w:val="00734782"/>
    <w:rsid w:val="00734952"/>
    <w:rsid w:val="00737407"/>
    <w:rsid w:val="0074208A"/>
    <w:rsid w:val="0074244B"/>
    <w:rsid w:val="00743F08"/>
    <w:rsid w:val="00745ABF"/>
    <w:rsid w:val="007477C9"/>
    <w:rsid w:val="00770863"/>
    <w:rsid w:val="00771A6A"/>
    <w:rsid w:val="00775613"/>
    <w:rsid w:val="00780589"/>
    <w:rsid w:val="00785D6E"/>
    <w:rsid w:val="00787E25"/>
    <w:rsid w:val="00793B56"/>
    <w:rsid w:val="00795326"/>
    <w:rsid w:val="007A786E"/>
    <w:rsid w:val="007B2570"/>
    <w:rsid w:val="007B39A0"/>
    <w:rsid w:val="007C16A7"/>
    <w:rsid w:val="007C305C"/>
    <w:rsid w:val="007D2600"/>
    <w:rsid w:val="007D2A0F"/>
    <w:rsid w:val="007D4D98"/>
    <w:rsid w:val="007D6154"/>
    <w:rsid w:val="007E3CE4"/>
    <w:rsid w:val="007E4BD2"/>
    <w:rsid w:val="007F091B"/>
    <w:rsid w:val="007F0E20"/>
    <w:rsid w:val="007F2085"/>
    <w:rsid w:val="007F243F"/>
    <w:rsid w:val="007F38A0"/>
    <w:rsid w:val="007F5218"/>
    <w:rsid w:val="00801E05"/>
    <w:rsid w:val="00803D28"/>
    <w:rsid w:val="00807A75"/>
    <w:rsid w:val="008104C9"/>
    <w:rsid w:val="00813576"/>
    <w:rsid w:val="00813751"/>
    <w:rsid w:val="00813A45"/>
    <w:rsid w:val="00813E3F"/>
    <w:rsid w:val="00814574"/>
    <w:rsid w:val="008176EA"/>
    <w:rsid w:val="00825AD8"/>
    <w:rsid w:val="008309BC"/>
    <w:rsid w:val="0083548B"/>
    <w:rsid w:val="00835FE4"/>
    <w:rsid w:val="00836E2A"/>
    <w:rsid w:val="00843286"/>
    <w:rsid w:val="00843797"/>
    <w:rsid w:val="008452F3"/>
    <w:rsid w:val="00847E96"/>
    <w:rsid w:val="00851481"/>
    <w:rsid w:val="00854619"/>
    <w:rsid w:val="0085601B"/>
    <w:rsid w:val="00862CA5"/>
    <w:rsid w:val="00864714"/>
    <w:rsid w:val="0087510A"/>
    <w:rsid w:val="00876886"/>
    <w:rsid w:val="00882089"/>
    <w:rsid w:val="008837C9"/>
    <w:rsid w:val="008848C6"/>
    <w:rsid w:val="008871F6"/>
    <w:rsid w:val="0088750A"/>
    <w:rsid w:val="00891B5A"/>
    <w:rsid w:val="00893065"/>
    <w:rsid w:val="008947C4"/>
    <w:rsid w:val="00897F60"/>
    <w:rsid w:val="008A28A9"/>
    <w:rsid w:val="008A4269"/>
    <w:rsid w:val="008A46C6"/>
    <w:rsid w:val="008A71E2"/>
    <w:rsid w:val="008C5074"/>
    <w:rsid w:val="008D15D0"/>
    <w:rsid w:val="008D39A1"/>
    <w:rsid w:val="008D7348"/>
    <w:rsid w:val="008E69CA"/>
    <w:rsid w:val="008E6F02"/>
    <w:rsid w:val="008F1F9C"/>
    <w:rsid w:val="008F2BAE"/>
    <w:rsid w:val="008F67A9"/>
    <w:rsid w:val="00902CD6"/>
    <w:rsid w:val="0090381C"/>
    <w:rsid w:val="0090576A"/>
    <w:rsid w:val="00906985"/>
    <w:rsid w:val="0091226B"/>
    <w:rsid w:val="009146CD"/>
    <w:rsid w:val="0091647D"/>
    <w:rsid w:val="00917BDC"/>
    <w:rsid w:val="00930855"/>
    <w:rsid w:val="0093272B"/>
    <w:rsid w:val="00941D17"/>
    <w:rsid w:val="00942430"/>
    <w:rsid w:val="00946887"/>
    <w:rsid w:val="009519B0"/>
    <w:rsid w:val="00953390"/>
    <w:rsid w:val="00953B27"/>
    <w:rsid w:val="00960324"/>
    <w:rsid w:val="00961504"/>
    <w:rsid w:val="00961CD2"/>
    <w:rsid w:val="0096422B"/>
    <w:rsid w:val="00967012"/>
    <w:rsid w:val="00975E32"/>
    <w:rsid w:val="00981DE8"/>
    <w:rsid w:val="0098571E"/>
    <w:rsid w:val="00986CEA"/>
    <w:rsid w:val="0098721C"/>
    <w:rsid w:val="009A3B65"/>
    <w:rsid w:val="009A5E0E"/>
    <w:rsid w:val="009B3C15"/>
    <w:rsid w:val="009B447D"/>
    <w:rsid w:val="009B781E"/>
    <w:rsid w:val="009B7A5E"/>
    <w:rsid w:val="009C0F39"/>
    <w:rsid w:val="009C5F53"/>
    <w:rsid w:val="009D00B6"/>
    <w:rsid w:val="009E3FF2"/>
    <w:rsid w:val="009E476C"/>
    <w:rsid w:val="009F32B3"/>
    <w:rsid w:val="009F7710"/>
    <w:rsid w:val="00A00636"/>
    <w:rsid w:val="00A1183A"/>
    <w:rsid w:val="00A11AAE"/>
    <w:rsid w:val="00A11AE5"/>
    <w:rsid w:val="00A21A5D"/>
    <w:rsid w:val="00A2714B"/>
    <w:rsid w:val="00A275C4"/>
    <w:rsid w:val="00A27AC4"/>
    <w:rsid w:val="00A309CB"/>
    <w:rsid w:val="00A33C45"/>
    <w:rsid w:val="00A3472F"/>
    <w:rsid w:val="00A453AA"/>
    <w:rsid w:val="00A53745"/>
    <w:rsid w:val="00A54AAA"/>
    <w:rsid w:val="00A56328"/>
    <w:rsid w:val="00A61054"/>
    <w:rsid w:val="00A63B4A"/>
    <w:rsid w:val="00A67944"/>
    <w:rsid w:val="00A701B7"/>
    <w:rsid w:val="00A753AF"/>
    <w:rsid w:val="00A808D5"/>
    <w:rsid w:val="00A81C80"/>
    <w:rsid w:val="00A85388"/>
    <w:rsid w:val="00A937BF"/>
    <w:rsid w:val="00A93B12"/>
    <w:rsid w:val="00A94079"/>
    <w:rsid w:val="00A95AF5"/>
    <w:rsid w:val="00AA037C"/>
    <w:rsid w:val="00AA0C20"/>
    <w:rsid w:val="00AA2156"/>
    <w:rsid w:val="00AA40F9"/>
    <w:rsid w:val="00AA77FD"/>
    <w:rsid w:val="00AC3E41"/>
    <w:rsid w:val="00AC6C9A"/>
    <w:rsid w:val="00AD09F2"/>
    <w:rsid w:val="00AD0DED"/>
    <w:rsid w:val="00AD6CAB"/>
    <w:rsid w:val="00AE1AC7"/>
    <w:rsid w:val="00AE44A7"/>
    <w:rsid w:val="00B00222"/>
    <w:rsid w:val="00B0653C"/>
    <w:rsid w:val="00B10576"/>
    <w:rsid w:val="00B1108F"/>
    <w:rsid w:val="00B12225"/>
    <w:rsid w:val="00B23082"/>
    <w:rsid w:val="00B25395"/>
    <w:rsid w:val="00B26B8F"/>
    <w:rsid w:val="00B30D87"/>
    <w:rsid w:val="00B313A6"/>
    <w:rsid w:val="00B3454F"/>
    <w:rsid w:val="00B35E4B"/>
    <w:rsid w:val="00B40404"/>
    <w:rsid w:val="00B40E4E"/>
    <w:rsid w:val="00B5362A"/>
    <w:rsid w:val="00B60740"/>
    <w:rsid w:val="00B64C18"/>
    <w:rsid w:val="00B66098"/>
    <w:rsid w:val="00B70D0B"/>
    <w:rsid w:val="00B70D71"/>
    <w:rsid w:val="00B755DA"/>
    <w:rsid w:val="00B7596E"/>
    <w:rsid w:val="00B77F10"/>
    <w:rsid w:val="00B80A8C"/>
    <w:rsid w:val="00B810BC"/>
    <w:rsid w:val="00B82855"/>
    <w:rsid w:val="00B84240"/>
    <w:rsid w:val="00B90A6B"/>
    <w:rsid w:val="00B90B5C"/>
    <w:rsid w:val="00B90D5E"/>
    <w:rsid w:val="00B9206A"/>
    <w:rsid w:val="00B92923"/>
    <w:rsid w:val="00B93940"/>
    <w:rsid w:val="00B94C1D"/>
    <w:rsid w:val="00B97E00"/>
    <w:rsid w:val="00BA58B8"/>
    <w:rsid w:val="00BA5ACC"/>
    <w:rsid w:val="00BA5E92"/>
    <w:rsid w:val="00BA6910"/>
    <w:rsid w:val="00BB4F31"/>
    <w:rsid w:val="00BB667E"/>
    <w:rsid w:val="00BC1360"/>
    <w:rsid w:val="00BC23BB"/>
    <w:rsid w:val="00BC448A"/>
    <w:rsid w:val="00BC52DE"/>
    <w:rsid w:val="00BC566F"/>
    <w:rsid w:val="00BE1692"/>
    <w:rsid w:val="00BE21A1"/>
    <w:rsid w:val="00BE290C"/>
    <w:rsid w:val="00BE470C"/>
    <w:rsid w:val="00BF2FDC"/>
    <w:rsid w:val="00BF4B77"/>
    <w:rsid w:val="00BF5D58"/>
    <w:rsid w:val="00C01478"/>
    <w:rsid w:val="00C03A1F"/>
    <w:rsid w:val="00C04293"/>
    <w:rsid w:val="00C045E4"/>
    <w:rsid w:val="00C05446"/>
    <w:rsid w:val="00C10DE3"/>
    <w:rsid w:val="00C116B1"/>
    <w:rsid w:val="00C1238E"/>
    <w:rsid w:val="00C130C5"/>
    <w:rsid w:val="00C22FF3"/>
    <w:rsid w:val="00C26370"/>
    <w:rsid w:val="00C27106"/>
    <w:rsid w:val="00C31ABA"/>
    <w:rsid w:val="00C36381"/>
    <w:rsid w:val="00C44CE5"/>
    <w:rsid w:val="00C4598B"/>
    <w:rsid w:val="00C4633B"/>
    <w:rsid w:val="00C46BCD"/>
    <w:rsid w:val="00C5088E"/>
    <w:rsid w:val="00C53CBD"/>
    <w:rsid w:val="00C550FE"/>
    <w:rsid w:val="00C617C4"/>
    <w:rsid w:val="00C6261C"/>
    <w:rsid w:val="00C65C7E"/>
    <w:rsid w:val="00C673CF"/>
    <w:rsid w:val="00C7260B"/>
    <w:rsid w:val="00C739C6"/>
    <w:rsid w:val="00C75249"/>
    <w:rsid w:val="00C84FC4"/>
    <w:rsid w:val="00C8631D"/>
    <w:rsid w:val="00C90DCA"/>
    <w:rsid w:val="00C92062"/>
    <w:rsid w:val="00C92231"/>
    <w:rsid w:val="00C96339"/>
    <w:rsid w:val="00C97209"/>
    <w:rsid w:val="00CA551F"/>
    <w:rsid w:val="00CA58D7"/>
    <w:rsid w:val="00CA61C9"/>
    <w:rsid w:val="00CB126D"/>
    <w:rsid w:val="00CB237E"/>
    <w:rsid w:val="00CB3067"/>
    <w:rsid w:val="00CB6DBD"/>
    <w:rsid w:val="00CC0265"/>
    <w:rsid w:val="00CC4068"/>
    <w:rsid w:val="00CC75E7"/>
    <w:rsid w:val="00CD0A5C"/>
    <w:rsid w:val="00CE086D"/>
    <w:rsid w:val="00CE2D98"/>
    <w:rsid w:val="00CF252B"/>
    <w:rsid w:val="00CF7BEF"/>
    <w:rsid w:val="00CF7E3C"/>
    <w:rsid w:val="00CF7ED3"/>
    <w:rsid w:val="00D011FF"/>
    <w:rsid w:val="00D055B0"/>
    <w:rsid w:val="00D1064C"/>
    <w:rsid w:val="00D139DA"/>
    <w:rsid w:val="00D145B4"/>
    <w:rsid w:val="00D14D10"/>
    <w:rsid w:val="00D157FE"/>
    <w:rsid w:val="00D177E5"/>
    <w:rsid w:val="00D2143F"/>
    <w:rsid w:val="00D239D6"/>
    <w:rsid w:val="00D24FEF"/>
    <w:rsid w:val="00D3058C"/>
    <w:rsid w:val="00D3617A"/>
    <w:rsid w:val="00D36A0D"/>
    <w:rsid w:val="00D42640"/>
    <w:rsid w:val="00D42869"/>
    <w:rsid w:val="00D43A83"/>
    <w:rsid w:val="00D514CC"/>
    <w:rsid w:val="00D5757B"/>
    <w:rsid w:val="00D57E07"/>
    <w:rsid w:val="00D61C2F"/>
    <w:rsid w:val="00D646A0"/>
    <w:rsid w:val="00D71889"/>
    <w:rsid w:val="00D72732"/>
    <w:rsid w:val="00D732B8"/>
    <w:rsid w:val="00D8104F"/>
    <w:rsid w:val="00D92A87"/>
    <w:rsid w:val="00D937DE"/>
    <w:rsid w:val="00D96BBA"/>
    <w:rsid w:val="00DA05CB"/>
    <w:rsid w:val="00DA1443"/>
    <w:rsid w:val="00DA3E27"/>
    <w:rsid w:val="00DA5201"/>
    <w:rsid w:val="00DB6682"/>
    <w:rsid w:val="00DC442F"/>
    <w:rsid w:val="00DC46E3"/>
    <w:rsid w:val="00DC78E4"/>
    <w:rsid w:val="00DC7E5A"/>
    <w:rsid w:val="00DD530A"/>
    <w:rsid w:val="00DE4638"/>
    <w:rsid w:val="00DE7676"/>
    <w:rsid w:val="00DF0789"/>
    <w:rsid w:val="00DF6835"/>
    <w:rsid w:val="00DF7A2C"/>
    <w:rsid w:val="00E02AF6"/>
    <w:rsid w:val="00E039AD"/>
    <w:rsid w:val="00E04A60"/>
    <w:rsid w:val="00E04CEA"/>
    <w:rsid w:val="00E15B00"/>
    <w:rsid w:val="00E15D08"/>
    <w:rsid w:val="00E313CE"/>
    <w:rsid w:val="00E36FF9"/>
    <w:rsid w:val="00E40623"/>
    <w:rsid w:val="00E54E06"/>
    <w:rsid w:val="00E619E7"/>
    <w:rsid w:val="00E628FC"/>
    <w:rsid w:val="00E62A2A"/>
    <w:rsid w:val="00E73141"/>
    <w:rsid w:val="00E74D3C"/>
    <w:rsid w:val="00E76D3E"/>
    <w:rsid w:val="00E779AC"/>
    <w:rsid w:val="00E8187F"/>
    <w:rsid w:val="00E8275B"/>
    <w:rsid w:val="00E90484"/>
    <w:rsid w:val="00E942C6"/>
    <w:rsid w:val="00E9482B"/>
    <w:rsid w:val="00EA3111"/>
    <w:rsid w:val="00EB7589"/>
    <w:rsid w:val="00EC2034"/>
    <w:rsid w:val="00EE0C34"/>
    <w:rsid w:val="00EE2C0C"/>
    <w:rsid w:val="00EE3220"/>
    <w:rsid w:val="00EF08A4"/>
    <w:rsid w:val="00EF5A9E"/>
    <w:rsid w:val="00F062B1"/>
    <w:rsid w:val="00F0757D"/>
    <w:rsid w:val="00F107C2"/>
    <w:rsid w:val="00F16192"/>
    <w:rsid w:val="00F20806"/>
    <w:rsid w:val="00F20E77"/>
    <w:rsid w:val="00F233DA"/>
    <w:rsid w:val="00F2456C"/>
    <w:rsid w:val="00F26BE5"/>
    <w:rsid w:val="00F338F1"/>
    <w:rsid w:val="00F3406F"/>
    <w:rsid w:val="00F34889"/>
    <w:rsid w:val="00F34C7D"/>
    <w:rsid w:val="00F4462B"/>
    <w:rsid w:val="00F47994"/>
    <w:rsid w:val="00F54134"/>
    <w:rsid w:val="00F56DD5"/>
    <w:rsid w:val="00F6128A"/>
    <w:rsid w:val="00F62505"/>
    <w:rsid w:val="00F77822"/>
    <w:rsid w:val="00F814FA"/>
    <w:rsid w:val="00F83F43"/>
    <w:rsid w:val="00F84F12"/>
    <w:rsid w:val="00F85409"/>
    <w:rsid w:val="00F904C4"/>
    <w:rsid w:val="00F925FB"/>
    <w:rsid w:val="00FA2D33"/>
    <w:rsid w:val="00FA3986"/>
    <w:rsid w:val="00FA49C5"/>
    <w:rsid w:val="00FA58BC"/>
    <w:rsid w:val="00FB761F"/>
    <w:rsid w:val="00FC07A3"/>
    <w:rsid w:val="00FD0C79"/>
    <w:rsid w:val="00FD0F29"/>
    <w:rsid w:val="00FD3B78"/>
    <w:rsid w:val="00FF01F6"/>
    <w:rsid w:val="00FF107A"/>
    <w:rsid w:val="00FF728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1301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ol1">
    <w:name w:val="heading 1"/>
    <w:basedOn w:val="Normal"/>
    <w:next w:val="Normal"/>
    <w:link w:val="Ttol1Car"/>
    <w:uiPriority w:val="9"/>
    <w:qFormat/>
    <w:rsid w:val="0077561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tol2">
    <w:name w:val="heading 2"/>
    <w:basedOn w:val="Normal"/>
    <w:next w:val="Normal"/>
    <w:link w:val="Ttol2Car"/>
    <w:uiPriority w:val="9"/>
    <w:unhideWhenUsed/>
    <w:qFormat/>
    <w:rsid w:val="0077561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ol3">
    <w:name w:val="heading 3"/>
    <w:basedOn w:val="Normal"/>
    <w:next w:val="Normal"/>
    <w:link w:val="Ttol3Car"/>
    <w:uiPriority w:val="9"/>
    <w:unhideWhenUsed/>
    <w:qFormat/>
    <w:rsid w:val="00775613"/>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Ttol4">
    <w:name w:val="heading 4"/>
    <w:basedOn w:val="Normal"/>
    <w:next w:val="Normal"/>
    <w:link w:val="Ttol4Car"/>
    <w:uiPriority w:val="9"/>
    <w:unhideWhenUsed/>
    <w:qFormat/>
    <w:rsid w:val="00775613"/>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BB667E"/>
    <w:pPr>
      <w:tabs>
        <w:tab w:val="center" w:pos="4252"/>
        <w:tab w:val="right" w:pos="8504"/>
      </w:tabs>
    </w:pPr>
  </w:style>
  <w:style w:type="character" w:customStyle="1" w:styleId="PeuCar">
    <w:name w:val="Peu Car"/>
    <w:link w:val="Peu"/>
    <w:uiPriority w:val="99"/>
    <w:rsid w:val="00BB667E"/>
    <w:rPr>
      <w:rFonts w:ascii="Arial" w:hAnsi="Arial"/>
      <w:lang w:val="ca-E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paragraph" w:styleId="Ttol">
    <w:name w:val="Title"/>
    <w:basedOn w:val="Normal"/>
    <w:next w:val="Normal"/>
    <w:link w:val="TtolCar"/>
    <w:uiPriority w:val="10"/>
    <w:qFormat/>
    <w:rsid w:val="004E2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olCar">
    <w:name w:val="Títol Car"/>
    <w:basedOn w:val="Tipusdelletraperdefectedelpargraf"/>
    <w:link w:val="Ttol"/>
    <w:uiPriority w:val="10"/>
    <w:rsid w:val="004E2AF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ol1Car">
    <w:name w:val="Títol 1 Car"/>
    <w:basedOn w:val="Tipusdelletraperdefectedelpargraf"/>
    <w:link w:val="Ttol1"/>
    <w:uiPriority w:val="9"/>
    <w:rsid w:val="00775613"/>
    <w:rPr>
      <w:rFonts w:asciiTheme="majorHAnsi" w:eastAsiaTheme="majorEastAsia" w:hAnsiTheme="majorHAnsi" w:cstheme="majorBidi"/>
      <w:color w:val="365F91" w:themeColor="accent1" w:themeShade="BF"/>
      <w:sz w:val="32"/>
      <w:szCs w:val="32"/>
      <w:lang w:eastAsia="en-US"/>
    </w:rPr>
  </w:style>
  <w:style w:type="character" w:customStyle="1" w:styleId="Ttol2Car">
    <w:name w:val="Títol 2 Car"/>
    <w:basedOn w:val="Tipusdelletraperdefectedelpargraf"/>
    <w:link w:val="Ttol2"/>
    <w:uiPriority w:val="9"/>
    <w:rsid w:val="00775613"/>
    <w:rPr>
      <w:rFonts w:asciiTheme="majorHAnsi" w:eastAsiaTheme="majorEastAsia" w:hAnsiTheme="majorHAnsi" w:cstheme="majorBidi"/>
      <w:color w:val="365F91" w:themeColor="accent1" w:themeShade="BF"/>
      <w:sz w:val="26"/>
      <w:szCs w:val="26"/>
      <w:lang w:eastAsia="en-US"/>
    </w:rPr>
  </w:style>
  <w:style w:type="character" w:customStyle="1" w:styleId="Ttol3Car">
    <w:name w:val="Títol 3 Car"/>
    <w:basedOn w:val="Tipusdelletraperdefectedelpargraf"/>
    <w:link w:val="Ttol3"/>
    <w:uiPriority w:val="9"/>
    <w:rsid w:val="00775613"/>
    <w:rPr>
      <w:rFonts w:asciiTheme="majorHAnsi" w:eastAsiaTheme="majorEastAsia" w:hAnsiTheme="majorHAnsi" w:cstheme="majorBidi"/>
      <w:color w:val="243F60" w:themeColor="accent1" w:themeShade="7F"/>
      <w:sz w:val="24"/>
      <w:szCs w:val="24"/>
      <w:lang w:eastAsia="en-US"/>
    </w:rPr>
  </w:style>
  <w:style w:type="character" w:customStyle="1" w:styleId="Ttol4Car">
    <w:name w:val="Títol 4 Car"/>
    <w:basedOn w:val="Tipusdelletraperdefectedelpargraf"/>
    <w:link w:val="Ttol4"/>
    <w:uiPriority w:val="9"/>
    <w:rsid w:val="00775613"/>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775613"/>
    <w:pPr>
      <w:autoSpaceDE w:val="0"/>
      <w:autoSpaceDN w:val="0"/>
      <w:adjustRightInd w:val="0"/>
    </w:pPr>
    <w:rPr>
      <w:rFonts w:ascii="Arial" w:eastAsiaTheme="minorHAnsi" w:hAnsi="Arial" w:cs="Arial"/>
      <w:color w:val="000000"/>
      <w:sz w:val="24"/>
      <w:szCs w:val="24"/>
      <w:lang w:eastAsia="en-US"/>
    </w:rPr>
  </w:style>
  <w:style w:type="paragraph" w:styleId="Textdenotaapeudepgina">
    <w:name w:val="footnote text"/>
    <w:basedOn w:val="Normal"/>
    <w:link w:val="TextdenotaapeudepginaCar"/>
    <w:uiPriority w:val="99"/>
    <w:semiHidden/>
    <w:unhideWhenUsed/>
    <w:rsid w:val="00775613"/>
    <w:rPr>
      <w:rFonts w:asciiTheme="minorHAnsi" w:eastAsiaTheme="minorHAnsi" w:hAnsiTheme="minorHAnsi" w:cstheme="minorBidi"/>
      <w:sz w:val="20"/>
      <w:szCs w:val="20"/>
    </w:rPr>
  </w:style>
  <w:style w:type="character" w:customStyle="1" w:styleId="TextdenotaapeudepginaCar">
    <w:name w:val="Text de nota a peu de pàgina Car"/>
    <w:basedOn w:val="Tipusdelletraperdefectedelpargraf"/>
    <w:link w:val="Textdenotaapeudepgina"/>
    <w:uiPriority w:val="99"/>
    <w:semiHidden/>
    <w:rsid w:val="00775613"/>
    <w:rPr>
      <w:rFonts w:asciiTheme="minorHAnsi" w:eastAsiaTheme="minorHAnsi" w:hAnsiTheme="minorHAnsi" w:cstheme="minorBidi"/>
      <w:lang w:eastAsia="en-US"/>
    </w:rPr>
  </w:style>
  <w:style w:type="character" w:styleId="Refernciadenotaapeudepgina">
    <w:name w:val="footnote reference"/>
    <w:basedOn w:val="Tipusdelletraperdefectedelpargraf"/>
    <w:uiPriority w:val="99"/>
    <w:semiHidden/>
    <w:unhideWhenUsed/>
    <w:rsid w:val="00775613"/>
    <w:rPr>
      <w:vertAlign w:val="superscript"/>
    </w:rPr>
  </w:style>
  <w:style w:type="paragraph" w:styleId="TtoldelIDC">
    <w:name w:val="TOC Heading"/>
    <w:basedOn w:val="Ttol1"/>
    <w:next w:val="Normal"/>
    <w:uiPriority w:val="39"/>
    <w:unhideWhenUsed/>
    <w:qFormat/>
    <w:rsid w:val="00775613"/>
    <w:pPr>
      <w:outlineLvl w:val="9"/>
    </w:pPr>
    <w:rPr>
      <w:lang w:eastAsia="ca-ES"/>
    </w:rPr>
  </w:style>
  <w:style w:type="paragraph" w:styleId="IDC1">
    <w:name w:val="toc 1"/>
    <w:basedOn w:val="Normal"/>
    <w:next w:val="Normal"/>
    <w:autoRedefine/>
    <w:uiPriority w:val="39"/>
    <w:unhideWhenUsed/>
    <w:rsid w:val="00775613"/>
    <w:pPr>
      <w:spacing w:after="100" w:line="259" w:lineRule="auto"/>
    </w:pPr>
    <w:rPr>
      <w:rFonts w:asciiTheme="minorHAnsi" w:eastAsiaTheme="minorHAnsi" w:hAnsiTheme="minorHAnsi" w:cstheme="minorBidi"/>
    </w:rPr>
  </w:style>
  <w:style w:type="character" w:styleId="Enlla">
    <w:name w:val="Hyperlink"/>
    <w:basedOn w:val="Tipusdelletraperdefectedelpargraf"/>
    <w:uiPriority w:val="99"/>
    <w:unhideWhenUsed/>
    <w:rsid w:val="00775613"/>
    <w:rPr>
      <w:color w:val="0000FF" w:themeColor="hyperlink"/>
      <w:u w:val="single"/>
    </w:rPr>
  </w:style>
  <w:style w:type="paragraph" w:styleId="Pargrafdellista">
    <w:name w:val="List Paragraph"/>
    <w:basedOn w:val="Normal"/>
    <w:uiPriority w:val="34"/>
    <w:qFormat/>
    <w:rsid w:val="00775613"/>
    <w:pPr>
      <w:spacing w:after="160" w:line="259" w:lineRule="auto"/>
      <w:ind w:left="720"/>
      <w:contextualSpacing/>
    </w:pPr>
    <w:rPr>
      <w:rFonts w:asciiTheme="minorHAnsi" w:eastAsiaTheme="minorHAnsi" w:hAnsiTheme="minorHAnsi" w:cstheme="minorBidi"/>
    </w:rPr>
  </w:style>
  <w:style w:type="table" w:styleId="Taulaambquadrcula">
    <w:name w:val="Table Grid"/>
    <w:basedOn w:val="Taulanormal"/>
    <w:uiPriority w:val="39"/>
    <w:rsid w:val="007756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4-mfasi51">
    <w:name w:val="Taula amb quadrícula 4 - Èmfasi 51"/>
    <w:basedOn w:val="Taulanormal"/>
    <w:uiPriority w:val="49"/>
    <w:rsid w:val="0077561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IDC2">
    <w:name w:val="toc 2"/>
    <w:basedOn w:val="Normal"/>
    <w:next w:val="Normal"/>
    <w:autoRedefine/>
    <w:uiPriority w:val="39"/>
    <w:unhideWhenUsed/>
    <w:rsid w:val="00FB761F"/>
    <w:pPr>
      <w:tabs>
        <w:tab w:val="left" w:pos="440"/>
        <w:tab w:val="left" w:pos="880"/>
        <w:tab w:val="right" w:leader="dot" w:pos="9072"/>
      </w:tabs>
      <w:spacing w:after="100" w:line="259" w:lineRule="auto"/>
      <w:jc w:val="both"/>
    </w:pPr>
    <w:rPr>
      <w:rFonts w:eastAsiaTheme="minorHAnsi" w:cs="Arial"/>
      <w:lang w:eastAsia="ca-ES"/>
    </w:rPr>
  </w:style>
  <w:style w:type="paragraph" w:styleId="NormalWeb">
    <w:name w:val="Normal (Web)"/>
    <w:basedOn w:val="Normal"/>
    <w:uiPriority w:val="99"/>
    <w:semiHidden/>
    <w:unhideWhenUsed/>
    <w:rsid w:val="00775613"/>
    <w:pPr>
      <w:spacing w:before="100" w:beforeAutospacing="1" w:after="100" w:afterAutospacing="1"/>
    </w:pPr>
    <w:rPr>
      <w:rFonts w:ascii="Times New Roman" w:eastAsiaTheme="minorEastAsia" w:hAnsi="Times New Roman"/>
      <w:sz w:val="24"/>
      <w:szCs w:val="24"/>
      <w:lang w:eastAsia="ca-ES"/>
    </w:rPr>
  </w:style>
  <w:style w:type="paragraph" w:styleId="IDC3">
    <w:name w:val="toc 3"/>
    <w:basedOn w:val="Normal"/>
    <w:next w:val="Normal"/>
    <w:autoRedefine/>
    <w:uiPriority w:val="39"/>
    <w:unhideWhenUsed/>
    <w:rsid w:val="00775613"/>
    <w:pPr>
      <w:spacing w:after="100" w:line="259" w:lineRule="auto"/>
      <w:ind w:left="440"/>
    </w:pPr>
    <w:rPr>
      <w:rFonts w:asciiTheme="minorHAnsi" w:eastAsiaTheme="minorHAnsi" w:hAnsiTheme="minorHAnsi" w:cstheme="minorBidi"/>
    </w:rPr>
  </w:style>
  <w:style w:type="table" w:customStyle="1" w:styleId="Taulaambquadrcula5fosca-mfasi11">
    <w:name w:val="Taula amb quadrícula 5 fosca - Èmfasi 11"/>
    <w:basedOn w:val="Taulanormal"/>
    <w:uiPriority w:val="50"/>
    <w:rsid w:val="0077561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ulasenzilla31">
    <w:name w:val="Taula senzilla 31"/>
    <w:basedOn w:val="Taulanormal"/>
    <w:uiPriority w:val="43"/>
    <w:rsid w:val="0077561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ernciadecomentari">
    <w:name w:val="annotation reference"/>
    <w:basedOn w:val="Tipusdelletraperdefectedelpargraf"/>
    <w:uiPriority w:val="99"/>
    <w:semiHidden/>
    <w:unhideWhenUsed/>
    <w:rsid w:val="00775613"/>
    <w:rPr>
      <w:sz w:val="16"/>
      <w:szCs w:val="16"/>
    </w:rPr>
  </w:style>
  <w:style w:type="paragraph" w:styleId="Textdecomentari">
    <w:name w:val="annotation text"/>
    <w:basedOn w:val="Normal"/>
    <w:link w:val="TextdecomentariCar"/>
    <w:uiPriority w:val="99"/>
    <w:semiHidden/>
    <w:unhideWhenUsed/>
    <w:rsid w:val="00775613"/>
    <w:pPr>
      <w:spacing w:after="160"/>
    </w:pPr>
    <w:rPr>
      <w:rFonts w:asciiTheme="minorHAnsi" w:eastAsiaTheme="minorHAnsi" w:hAnsiTheme="minorHAnsi" w:cstheme="minorBidi"/>
      <w:sz w:val="20"/>
      <w:szCs w:val="20"/>
    </w:rPr>
  </w:style>
  <w:style w:type="character" w:customStyle="1" w:styleId="TextdecomentariCar">
    <w:name w:val="Text de comentari Car"/>
    <w:basedOn w:val="Tipusdelletraperdefectedelpargraf"/>
    <w:link w:val="Textdecomentari"/>
    <w:uiPriority w:val="99"/>
    <w:semiHidden/>
    <w:rsid w:val="00775613"/>
    <w:rPr>
      <w:rFonts w:asciiTheme="minorHAnsi" w:eastAsiaTheme="minorHAnsi" w:hAnsiTheme="minorHAnsi" w:cstheme="minorBidi"/>
      <w:lang w:eastAsia="en-US"/>
    </w:rPr>
  </w:style>
  <w:style w:type="paragraph" w:styleId="Temadelcomentari">
    <w:name w:val="annotation subject"/>
    <w:basedOn w:val="Textdecomentari"/>
    <w:next w:val="Textdecomentari"/>
    <w:link w:val="TemadelcomentariCar"/>
    <w:uiPriority w:val="99"/>
    <w:semiHidden/>
    <w:unhideWhenUsed/>
    <w:rsid w:val="00775613"/>
    <w:rPr>
      <w:b/>
      <w:bCs/>
    </w:rPr>
  </w:style>
  <w:style w:type="character" w:customStyle="1" w:styleId="TemadelcomentariCar">
    <w:name w:val="Tema del comentari Car"/>
    <w:basedOn w:val="TextdecomentariCar"/>
    <w:link w:val="Temadelcomentari"/>
    <w:uiPriority w:val="99"/>
    <w:semiHidden/>
    <w:rsid w:val="00775613"/>
    <w:rPr>
      <w:rFonts w:asciiTheme="minorHAnsi" w:eastAsiaTheme="minorHAnsi" w:hAnsiTheme="minorHAnsi" w:cstheme="minorBidi"/>
      <w:b/>
      <w:bCs/>
      <w:lang w:eastAsia="en-US"/>
    </w:rPr>
  </w:style>
  <w:style w:type="character" w:styleId="Textennegreta">
    <w:name w:val="Strong"/>
    <w:basedOn w:val="Tipusdelletraperdefectedelpargraf"/>
    <w:uiPriority w:val="22"/>
    <w:qFormat/>
    <w:rsid w:val="00775613"/>
    <w:rPr>
      <w:b/>
      <w:bCs/>
    </w:rPr>
  </w:style>
  <w:style w:type="paragraph" w:styleId="Revisi">
    <w:name w:val="Revision"/>
    <w:hidden/>
    <w:uiPriority w:val="99"/>
    <w:semiHidden/>
    <w:rsid w:val="00775613"/>
    <w:rPr>
      <w:rFonts w:asciiTheme="minorHAnsi" w:eastAsiaTheme="minorHAnsi" w:hAnsiTheme="minorHAnsi" w:cstheme="minorBidi"/>
      <w:sz w:val="22"/>
      <w:szCs w:val="22"/>
      <w:lang w:eastAsia="en-US"/>
    </w:rPr>
  </w:style>
  <w:style w:type="paragraph" w:styleId="Llegenda">
    <w:name w:val="caption"/>
    <w:basedOn w:val="Normal"/>
    <w:next w:val="Normal"/>
    <w:uiPriority w:val="35"/>
    <w:unhideWhenUsed/>
    <w:qFormat/>
    <w:rsid w:val="00775613"/>
    <w:pPr>
      <w:spacing w:after="200"/>
    </w:pPr>
    <w:rPr>
      <w:rFonts w:asciiTheme="minorHAnsi" w:eastAsiaTheme="minorHAnsi" w:hAnsiTheme="minorHAnsi" w:cstheme="minorBidi"/>
      <w:i/>
      <w:iCs/>
      <w:color w:val="1F497D" w:themeColor="text2"/>
      <w:sz w:val="18"/>
      <w:szCs w:val="18"/>
    </w:rPr>
  </w:style>
  <w:style w:type="table" w:customStyle="1" w:styleId="Taulaambquadrcula5fosca-mfasi21">
    <w:name w:val="Taula amb quadrícula 5 fosca - Èmfasi 21"/>
    <w:basedOn w:val="Taulanormal"/>
    <w:uiPriority w:val="50"/>
    <w:rsid w:val="0077561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Enllavisitat">
    <w:name w:val="FollowedHyperlink"/>
    <w:basedOn w:val="Tipusdelletraperdefectedelpargraf"/>
    <w:uiPriority w:val="99"/>
    <w:semiHidden/>
    <w:unhideWhenUsed/>
    <w:rsid w:val="00775613"/>
    <w:rPr>
      <w:color w:val="800080" w:themeColor="followedHyperlink"/>
      <w:u w:val="single"/>
    </w:rPr>
  </w:style>
  <w:style w:type="table" w:customStyle="1" w:styleId="GridTable4Accent51">
    <w:name w:val="Grid Table 4 Accent 51"/>
    <w:basedOn w:val="Taulanormal"/>
    <w:uiPriority w:val="49"/>
    <w:rsid w:val="006D7B6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31">
      <w:bodyDiv w:val="1"/>
      <w:marLeft w:val="0"/>
      <w:marRight w:val="0"/>
      <w:marTop w:val="0"/>
      <w:marBottom w:val="0"/>
      <w:divBdr>
        <w:top w:val="none" w:sz="0" w:space="0" w:color="auto"/>
        <w:left w:val="none" w:sz="0" w:space="0" w:color="auto"/>
        <w:bottom w:val="none" w:sz="0" w:space="0" w:color="auto"/>
        <w:right w:val="none" w:sz="0" w:space="0" w:color="auto"/>
      </w:divBdr>
    </w:div>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467357744">
      <w:bodyDiv w:val="1"/>
      <w:marLeft w:val="0"/>
      <w:marRight w:val="0"/>
      <w:marTop w:val="0"/>
      <w:marBottom w:val="0"/>
      <w:divBdr>
        <w:top w:val="none" w:sz="0" w:space="0" w:color="auto"/>
        <w:left w:val="none" w:sz="0" w:space="0" w:color="auto"/>
        <w:bottom w:val="none" w:sz="0" w:space="0" w:color="auto"/>
        <w:right w:val="none" w:sz="0" w:space="0" w:color="auto"/>
      </w:divBdr>
    </w:div>
    <w:div w:id="483592588">
      <w:bodyDiv w:val="1"/>
      <w:marLeft w:val="0"/>
      <w:marRight w:val="0"/>
      <w:marTop w:val="0"/>
      <w:marBottom w:val="0"/>
      <w:divBdr>
        <w:top w:val="none" w:sz="0" w:space="0" w:color="auto"/>
        <w:left w:val="none" w:sz="0" w:space="0" w:color="auto"/>
        <w:bottom w:val="none" w:sz="0" w:space="0" w:color="auto"/>
        <w:right w:val="none" w:sz="0" w:space="0" w:color="auto"/>
      </w:divBdr>
    </w:div>
    <w:div w:id="496379988">
      <w:bodyDiv w:val="1"/>
      <w:marLeft w:val="0"/>
      <w:marRight w:val="0"/>
      <w:marTop w:val="0"/>
      <w:marBottom w:val="0"/>
      <w:divBdr>
        <w:top w:val="none" w:sz="0" w:space="0" w:color="auto"/>
        <w:left w:val="none" w:sz="0" w:space="0" w:color="auto"/>
        <w:bottom w:val="none" w:sz="0" w:space="0" w:color="auto"/>
        <w:right w:val="none" w:sz="0" w:space="0" w:color="auto"/>
      </w:divBdr>
    </w:div>
    <w:div w:id="526796896">
      <w:bodyDiv w:val="1"/>
      <w:marLeft w:val="0"/>
      <w:marRight w:val="0"/>
      <w:marTop w:val="0"/>
      <w:marBottom w:val="0"/>
      <w:divBdr>
        <w:top w:val="none" w:sz="0" w:space="0" w:color="auto"/>
        <w:left w:val="none" w:sz="0" w:space="0" w:color="auto"/>
        <w:bottom w:val="none" w:sz="0" w:space="0" w:color="auto"/>
        <w:right w:val="none" w:sz="0" w:space="0" w:color="auto"/>
      </w:divBdr>
    </w:div>
    <w:div w:id="644313874">
      <w:bodyDiv w:val="1"/>
      <w:marLeft w:val="0"/>
      <w:marRight w:val="0"/>
      <w:marTop w:val="0"/>
      <w:marBottom w:val="0"/>
      <w:divBdr>
        <w:top w:val="none" w:sz="0" w:space="0" w:color="auto"/>
        <w:left w:val="none" w:sz="0" w:space="0" w:color="auto"/>
        <w:bottom w:val="none" w:sz="0" w:space="0" w:color="auto"/>
        <w:right w:val="none" w:sz="0" w:space="0" w:color="auto"/>
      </w:divBdr>
    </w:div>
    <w:div w:id="832339036">
      <w:bodyDiv w:val="1"/>
      <w:marLeft w:val="0"/>
      <w:marRight w:val="0"/>
      <w:marTop w:val="0"/>
      <w:marBottom w:val="0"/>
      <w:divBdr>
        <w:top w:val="none" w:sz="0" w:space="0" w:color="auto"/>
        <w:left w:val="none" w:sz="0" w:space="0" w:color="auto"/>
        <w:bottom w:val="none" w:sz="0" w:space="0" w:color="auto"/>
        <w:right w:val="none" w:sz="0" w:space="0" w:color="auto"/>
      </w:divBdr>
    </w:div>
    <w:div w:id="1086340446">
      <w:bodyDiv w:val="1"/>
      <w:marLeft w:val="0"/>
      <w:marRight w:val="0"/>
      <w:marTop w:val="0"/>
      <w:marBottom w:val="0"/>
      <w:divBdr>
        <w:top w:val="none" w:sz="0" w:space="0" w:color="auto"/>
        <w:left w:val="none" w:sz="0" w:space="0" w:color="auto"/>
        <w:bottom w:val="none" w:sz="0" w:space="0" w:color="auto"/>
        <w:right w:val="none" w:sz="0" w:space="0" w:color="auto"/>
      </w:divBdr>
    </w:div>
    <w:div w:id="1204056640">
      <w:bodyDiv w:val="1"/>
      <w:marLeft w:val="0"/>
      <w:marRight w:val="0"/>
      <w:marTop w:val="0"/>
      <w:marBottom w:val="0"/>
      <w:divBdr>
        <w:top w:val="none" w:sz="0" w:space="0" w:color="auto"/>
        <w:left w:val="none" w:sz="0" w:space="0" w:color="auto"/>
        <w:bottom w:val="none" w:sz="0" w:space="0" w:color="auto"/>
        <w:right w:val="none" w:sz="0" w:space="0" w:color="auto"/>
      </w:divBdr>
    </w:div>
    <w:div w:id="1630362005">
      <w:bodyDiv w:val="1"/>
      <w:marLeft w:val="0"/>
      <w:marRight w:val="0"/>
      <w:marTop w:val="0"/>
      <w:marBottom w:val="0"/>
      <w:divBdr>
        <w:top w:val="none" w:sz="0" w:space="0" w:color="auto"/>
        <w:left w:val="none" w:sz="0" w:space="0" w:color="auto"/>
        <w:bottom w:val="none" w:sz="0" w:space="0" w:color="auto"/>
        <w:right w:val="none" w:sz="0" w:space="0" w:color="auto"/>
      </w:divBdr>
    </w:div>
    <w:div w:id="180866738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package" Target="embeddings/Documento_de_Microsoft_Word.doc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ernobert.gencat.cat/ca/transparencia/"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package" Target="embeddings/Hoja_de_c_lculo_de_Microsoft_Excel.xlsx"/><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sgeneral_inf_tcm344-30987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_juliol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_juliol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13.fitxers.ctti.intranet.gencat.cat\1301$\N0035_SdGTransparencia\AG_N0035_SdGTransparencia\G0137_Avaluacions\Obligacions%20transpar&#232;ncia\Avaluaci&#243;%202019\Avaluaci&#243;.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10800000" scaled="1"/>
              <a:tileRect/>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Gràfics!$A$4:$A$11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Gràfics!$G$4:$G$11</c:f>
              <c:numCache>
                <c:formatCode>General</c:formatCode>
                <c:ptCount val="8"/>
                <c:pt idx="0">
                  <c:v>15</c:v>
                </c:pt>
                <c:pt idx="1">
                  <c:v>7</c:v>
                </c:pt>
                <c:pt idx="2">
                  <c:v>14</c:v>
                </c:pt>
                <c:pt idx="3">
                  <c:v>12</c:v>
                </c:pt>
                <c:pt idx="4">
                  <c:v>5</c:v>
                </c:pt>
                <c:pt idx="5">
                  <c:v>47</c:v>
                </c:pt>
                <c:pt idx="6">
                  <c:v>12</c:v>
                </c:pt>
                <c:pt idx="7">
                  <c:v>7</c:v>
                </c:pt>
              </c:numCache>
            </c:numRef>
          </c:val>
          <c:extLst>
            <c:ext xmlns:c16="http://schemas.microsoft.com/office/drawing/2014/chart" uri="{C3380CC4-5D6E-409C-BE32-E72D297353CC}">
              <c16:uniqueId val="{00000000-3343-4A20-96E5-DD714FC68F4D}"/>
            </c:ext>
          </c:extLst>
        </c:ser>
        <c:dLbls>
          <c:showLegendKey val="0"/>
          <c:showVal val="0"/>
          <c:showCatName val="0"/>
          <c:showSerName val="0"/>
          <c:showPercent val="0"/>
          <c:showBubbleSize val="0"/>
        </c:dLbls>
        <c:gapWidth val="326"/>
        <c:overlap val="-58"/>
        <c:axId val="552015536"/>
        <c:axId val="552011600"/>
      </c:barChart>
      <c:catAx>
        <c:axId val="552015536"/>
        <c:scaling>
          <c:orientation val="minMax"/>
        </c:scaling>
        <c:delete val="0"/>
        <c:axPos val="l"/>
        <c:numFmt formatCode="General" sourceLinked="1"/>
        <c:majorTickMark val="none"/>
        <c:minorTickMark val="none"/>
        <c:tickLblPos val="nextTo"/>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52011600"/>
        <c:crosses val="autoZero"/>
        <c:auto val="1"/>
        <c:lblAlgn val="ctr"/>
        <c:lblOffset val="100"/>
        <c:noMultiLvlLbl val="0"/>
      </c:catAx>
      <c:valAx>
        <c:axId val="55201160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552015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Epígrafs</a:t>
            </a:r>
            <a:r>
              <a:rPr lang="en-US" baseline="0"/>
              <a:t> per departaments</a:t>
            </a:r>
            <a:endParaRPr lang="en-US"/>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ca-ES"/>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ca-E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Gràfics!$A$17:$A$23</c:f>
              <c:strCache>
                <c:ptCount val="7"/>
                <c:pt idx="0">
                  <c:v>CLT</c:v>
                </c:pt>
                <c:pt idx="1">
                  <c:v>EXI</c:v>
                </c:pt>
                <c:pt idx="2">
                  <c:v>PDA</c:v>
                </c:pt>
                <c:pt idx="3">
                  <c:v>PRE</c:v>
                </c:pt>
                <c:pt idx="4">
                  <c:v>TES</c:v>
                </c:pt>
                <c:pt idx="5">
                  <c:v>TOTS</c:v>
                </c:pt>
                <c:pt idx="6">
                  <c:v>VEH</c:v>
                </c:pt>
              </c:strCache>
            </c:strRef>
          </c:cat>
          <c:val>
            <c:numRef>
              <c:f>Gràfics!$B$17:$B$23</c:f>
              <c:numCache>
                <c:formatCode>General</c:formatCode>
                <c:ptCount val="7"/>
                <c:pt idx="0">
                  <c:v>1</c:v>
                </c:pt>
                <c:pt idx="1">
                  <c:v>5</c:v>
                </c:pt>
                <c:pt idx="2">
                  <c:v>18</c:v>
                </c:pt>
                <c:pt idx="3">
                  <c:v>8</c:v>
                </c:pt>
                <c:pt idx="4">
                  <c:v>9</c:v>
                </c:pt>
                <c:pt idx="5">
                  <c:v>19</c:v>
                </c:pt>
                <c:pt idx="6">
                  <c:v>59</c:v>
                </c:pt>
              </c:numCache>
            </c:numRef>
          </c:val>
          <c:extLst>
            <c:ext xmlns:c16="http://schemas.microsoft.com/office/drawing/2014/chart" uri="{C3380CC4-5D6E-409C-BE32-E72D297353CC}">
              <c16:uniqueId val="{00000000-6D18-4A31-83A5-C2B9DAFA6E28}"/>
            </c:ext>
          </c:extLst>
        </c:ser>
        <c:dLbls>
          <c:dLblPos val="outEnd"/>
          <c:showLegendKey val="0"/>
          <c:showVal val="1"/>
          <c:showCatName val="0"/>
          <c:showSerName val="0"/>
          <c:showPercent val="0"/>
          <c:showBubbleSize val="0"/>
        </c:dLbls>
        <c:gapWidth val="100"/>
        <c:overlap val="-24"/>
        <c:axId val="555099608"/>
        <c:axId val="555099280"/>
      </c:barChart>
      <c:catAx>
        <c:axId val="55509960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a-ES"/>
          </a:p>
        </c:txPr>
        <c:crossAx val="555099280"/>
        <c:crosses val="autoZero"/>
        <c:auto val="1"/>
        <c:lblAlgn val="ctr"/>
        <c:lblOffset val="100"/>
        <c:noMultiLvlLbl val="0"/>
      </c:catAx>
      <c:valAx>
        <c:axId val="55509928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ca-ES"/>
          </a:p>
        </c:txPr>
        <c:crossAx val="555099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a:sp3d contourW="9525">
              <a:contourClr>
                <a:schemeClr val="accent1">
                  <a:shade val="9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ca-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Gràfics!$A$33:$A$34</c:f>
              <c:strCache>
                <c:ptCount val="2"/>
                <c:pt idx="0">
                  <c:v>Departaments</c:v>
                </c:pt>
                <c:pt idx="1">
                  <c:v>STGO</c:v>
                </c:pt>
              </c:strCache>
            </c:strRef>
          </c:cat>
          <c:val>
            <c:numRef>
              <c:f>Gràfics!$B$33:$B$34</c:f>
              <c:numCache>
                <c:formatCode>0.00</c:formatCode>
                <c:ptCount val="2"/>
                <c:pt idx="0">
                  <c:v>88.680256664631656</c:v>
                </c:pt>
                <c:pt idx="1">
                  <c:v>90.965028331043953</c:v>
                </c:pt>
              </c:numCache>
            </c:numRef>
          </c:val>
          <c:extLst>
            <c:ext xmlns:c16="http://schemas.microsoft.com/office/drawing/2014/chart" uri="{C3380CC4-5D6E-409C-BE32-E72D297353CC}">
              <c16:uniqueId val="{00000000-91D4-4467-BC55-B58676053EC9}"/>
            </c:ext>
          </c:extLst>
        </c:ser>
        <c:dLbls>
          <c:showLegendKey val="0"/>
          <c:showVal val="1"/>
          <c:showCatName val="0"/>
          <c:showSerName val="0"/>
          <c:showPercent val="0"/>
          <c:showBubbleSize val="0"/>
        </c:dLbls>
        <c:gapWidth val="100"/>
        <c:shape val="box"/>
        <c:axId val="545816912"/>
        <c:axId val="545819208"/>
        <c:axId val="0"/>
      </c:bar3DChart>
      <c:catAx>
        <c:axId val="54581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a-ES"/>
          </a:p>
        </c:txPr>
        <c:crossAx val="545819208"/>
        <c:crosses val="autoZero"/>
        <c:auto val="1"/>
        <c:lblAlgn val="ctr"/>
        <c:lblOffset val="100"/>
        <c:noMultiLvlLbl val="0"/>
      </c:catAx>
      <c:valAx>
        <c:axId val="545819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ca-ES"/>
          </a:p>
        </c:txPr>
        <c:crossAx val="545816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STGO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Gràfics!$A$4:$A$11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Gràfics!$F$4:$F$11</c:f>
              <c:numCache>
                <c:formatCode>0.00</c:formatCode>
                <c:ptCount val="8"/>
                <c:pt idx="0">
                  <c:v>90.864743589743583</c:v>
                </c:pt>
                <c:pt idx="1">
                  <c:v>85.120192307692307</c:v>
                </c:pt>
                <c:pt idx="2">
                  <c:v>97.083333333333329</c:v>
                </c:pt>
                <c:pt idx="3">
                  <c:v>84.698717948717942</c:v>
                </c:pt>
                <c:pt idx="4">
                  <c:v>88.75</c:v>
                </c:pt>
                <c:pt idx="5">
                  <c:v>97.246108058608058</c:v>
                </c:pt>
                <c:pt idx="6">
                  <c:v>90.290464743589752</c:v>
                </c:pt>
                <c:pt idx="7">
                  <c:v>93.666666666666657</c:v>
                </c:pt>
              </c:numCache>
            </c:numRef>
          </c:val>
          <c:extLst>
            <c:ext xmlns:c16="http://schemas.microsoft.com/office/drawing/2014/chart" uri="{C3380CC4-5D6E-409C-BE32-E72D297353CC}">
              <c16:uniqueId val="{00000000-6E19-49C1-8908-837352E39AB2}"/>
            </c:ext>
          </c:extLst>
        </c:ser>
        <c:ser>
          <c:idx val="1"/>
          <c:order val="1"/>
          <c:tx>
            <c:v>Departaments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Gràfics!$A$4:$A$11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Gràfics!$I$4:$I$11</c:f>
              <c:numCache>
                <c:formatCode>0.00</c:formatCode>
                <c:ptCount val="8"/>
                <c:pt idx="0">
                  <c:v>88.77884615384616</c:v>
                </c:pt>
                <c:pt idx="1">
                  <c:v>78.766025641025649</c:v>
                </c:pt>
                <c:pt idx="2">
                  <c:v>93.657407407407405</c:v>
                </c:pt>
                <c:pt idx="3">
                  <c:v>88.328525641025635</c:v>
                </c:pt>
                <c:pt idx="4">
                  <c:v>83.75</c:v>
                </c:pt>
                <c:pt idx="5">
                  <c:v>95.40003052503053</c:v>
                </c:pt>
                <c:pt idx="6">
                  <c:v>84.09455128205127</c:v>
                </c:pt>
                <c:pt idx="7">
                  <c:v>96.666666666666657</c:v>
                </c:pt>
              </c:numCache>
            </c:numRef>
          </c:val>
          <c:extLst>
            <c:ext xmlns:c16="http://schemas.microsoft.com/office/drawing/2014/chart" uri="{C3380CC4-5D6E-409C-BE32-E72D297353CC}">
              <c16:uniqueId val="{00000001-6E19-49C1-8908-837352E39AB2}"/>
            </c:ext>
          </c:extLst>
        </c:ser>
        <c:dLbls>
          <c:showLegendKey val="0"/>
          <c:showVal val="0"/>
          <c:showCatName val="0"/>
          <c:showSerName val="0"/>
          <c:showPercent val="0"/>
          <c:showBubbleSize val="0"/>
        </c:dLbls>
        <c:gapWidth val="164"/>
        <c:overlap val="-22"/>
        <c:axId val="229720272"/>
        <c:axId val="229712728"/>
      </c:barChart>
      <c:catAx>
        <c:axId val="22972027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29712728"/>
        <c:crosses val="autoZero"/>
        <c:auto val="1"/>
        <c:lblAlgn val="ctr"/>
        <c:lblOffset val="100"/>
        <c:noMultiLvlLbl val="0"/>
      </c:catAx>
      <c:valAx>
        <c:axId val="2297127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229720272"/>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a-E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STGO</c:v>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Gràfics!$B$3:$E$3</c:f>
              <c:strCache>
                <c:ptCount val="4"/>
                <c:pt idx="0">
                  <c:v>Presentació</c:v>
                </c:pt>
                <c:pt idx="1">
                  <c:v>Accessibilitat</c:v>
                </c:pt>
                <c:pt idx="2">
                  <c:v>Contingut</c:v>
                </c:pt>
                <c:pt idx="3">
                  <c:v>Font, format i actualització</c:v>
                </c:pt>
              </c:strCache>
            </c:strRef>
          </c:cat>
          <c:val>
            <c:numRef>
              <c:f>Gràfics!$B$12:$E$12</c:f>
              <c:numCache>
                <c:formatCode>0.00</c:formatCode>
                <c:ptCount val="4"/>
                <c:pt idx="0">
                  <c:v>94.927083333333343</c:v>
                </c:pt>
                <c:pt idx="1">
                  <c:v>94.940304487179475</c:v>
                </c:pt>
                <c:pt idx="2">
                  <c:v>91.615162037037038</c:v>
                </c:pt>
                <c:pt idx="3">
                  <c:v>83.636128917378912</c:v>
                </c:pt>
              </c:numCache>
            </c:numRef>
          </c:val>
          <c:extLst>
            <c:ext xmlns:c16="http://schemas.microsoft.com/office/drawing/2014/chart" uri="{C3380CC4-5D6E-409C-BE32-E72D297353CC}">
              <c16:uniqueId val="{00000000-9028-41CB-B6B6-F6BA5D5B3BC0}"/>
            </c:ext>
          </c:extLst>
        </c:ser>
        <c:ser>
          <c:idx val="1"/>
          <c:order val="1"/>
          <c:tx>
            <c:v>Departaments</c:v>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Gràfics!$B$3:$E$3</c:f>
              <c:strCache>
                <c:ptCount val="4"/>
                <c:pt idx="0">
                  <c:v>Presentació</c:v>
                </c:pt>
                <c:pt idx="1">
                  <c:v>Accessibilitat</c:v>
                </c:pt>
                <c:pt idx="2">
                  <c:v>Contingut</c:v>
                </c:pt>
                <c:pt idx="3">
                  <c:v>Font, format i actualització</c:v>
                </c:pt>
              </c:strCache>
            </c:strRef>
          </c:cat>
          <c:val>
            <c:numRef>
              <c:f>Gràfics!$B$14:$E$14</c:f>
              <c:numCache>
                <c:formatCode>0.00</c:formatCode>
                <c:ptCount val="4"/>
                <c:pt idx="0">
                  <c:v>92.160113324175811</c:v>
                </c:pt>
                <c:pt idx="1">
                  <c:v>90.471077533577528</c:v>
                </c:pt>
                <c:pt idx="2">
                  <c:v>88.553008623321119</c:v>
                </c:pt>
                <c:pt idx="3">
                  <c:v>84.641861899674396</c:v>
                </c:pt>
              </c:numCache>
            </c:numRef>
          </c:val>
          <c:extLst>
            <c:ext xmlns:c16="http://schemas.microsoft.com/office/drawing/2014/chart" uri="{C3380CC4-5D6E-409C-BE32-E72D297353CC}">
              <c16:uniqueId val="{00000001-9028-41CB-B6B6-F6BA5D5B3BC0}"/>
            </c:ext>
          </c:extLst>
        </c:ser>
        <c:dLbls>
          <c:showLegendKey val="0"/>
          <c:showVal val="0"/>
          <c:showCatName val="0"/>
          <c:showSerName val="0"/>
          <c:showPercent val="0"/>
          <c:showBubbleSize val="0"/>
        </c:dLbls>
        <c:gapWidth val="164"/>
        <c:overlap val="-22"/>
        <c:axId val="645106128"/>
        <c:axId val="645103176"/>
      </c:barChart>
      <c:catAx>
        <c:axId val="645106128"/>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645103176"/>
        <c:crosses val="autoZero"/>
        <c:auto val="1"/>
        <c:lblAlgn val="ctr"/>
        <c:lblOffset val="100"/>
        <c:noMultiLvlLbl val="0"/>
      </c:catAx>
      <c:valAx>
        <c:axId val="645103176"/>
        <c:scaling>
          <c:orientation val="minMax"/>
          <c:min val="0"/>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64510612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ca-ES"/>
          </a:p>
        </c:txPr>
      </c:dTable>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2019</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Gràfics!$A$4:$A$11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Gràfics!$F$4:$F$11</c:f>
              <c:numCache>
                <c:formatCode>0.00</c:formatCode>
                <c:ptCount val="8"/>
                <c:pt idx="0">
                  <c:v>90.864743589743583</c:v>
                </c:pt>
                <c:pt idx="1">
                  <c:v>85.120192307692307</c:v>
                </c:pt>
                <c:pt idx="2">
                  <c:v>97.083333333333329</c:v>
                </c:pt>
                <c:pt idx="3">
                  <c:v>84.698717948717942</c:v>
                </c:pt>
                <c:pt idx="4">
                  <c:v>88.75</c:v>
                </c:pt>
                <c:pt idx="5">
                  <c:v>97.246108058608058</c:v>
                </c:pt>
                <c:pt idx="6">
                  <c:v>90.290464743589752</c:v>
                </c:pt>
                <c:pt idx="7">
                  <c:v>93.666666666666657</c:v>
                </c:pt>
              </c:numCache>
            </c:numRef>
          </c:val>
          <c:extLst>
            <c:ext xmlns:c16="http://schemas.microsoft.com/office/drawing/2014/chart" uri="{C3380CC4-5D6E-409C-BE32-E72D297353CC}">
              <c16:uniqueId val="{00000000-3A0B-41F6-BA41-D20545B03218}"/>
            </c:ext>
          </c:extLst>
        </c:ser>
        <c:ser>
          <c:idx val="1"/>
          <c:order val="1"/>
          <c:tx>
            <c:v>2018</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Gràfics!$A$4:$A$11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Gràfics!$H$4:$H$11</c:f>
              <c:numCache>
                <c:formatCode>0.00</c:formatCode>
                <c:ptCount val="8"/>
                <c:pt idx="0">
                  <c:v>85.625</c:v>
                </c:pt>
                <c:pt idx="1">
                  <c:v>80.625</c:v>
                </c:pt>
                <c:pt idx="2">
                  <c:v>94.351851851851848</c:v>
                </c:pt>
                <c:pt idx="3">
                  <c:v>88.541666666666671</c:v>
                </c:pt>
                <c:pt idx="4">
                  <c:v>98.25</c:v>
                </c:pt>
                <c:pt idx="5">
                  <c:v>95.52827380952381</c:v>
                </c:pt>
                <c:pt idx="6">
                  <c:v>88.723958333333329</c:v>
                </c:pt>
                <c:pt idx="7">
                  <c:v>97</c:v>
                </c:pt>
              </c:numCache>
            </c:numRef>
          </c:val>
          <c:extLst>
            <c:ext xmlns:c16="http://schemas.microsoft.com/office/drawing/2014/chart" uri="{C3380CC4-5D6E-409C-BE32-E72D297353CC}">
              <c16:uniqueId val="{00000001-3A0B-41F6-BA41-D20545B03218}"/>
            </c:ext>
          </c:extLst>
        </c:ser>
        <c:dLbls>
          <c:dLblPos val="inEnd"/>
          <c:showLegendKey val="0"/>
          <c:showVal val="1"/>
          <c:showCatName val="0"/>
          <c:showSerName val="0"/>
          <c:showPercent val="0"/>
          <c:showBubbleSize val="0"/>
        </c:dLbls>
        <c:gapWidth val="65"/>
        <c:axId val="410145832"/>
        <c:axId val="410153376"/>
      </c:barChart>
      <c:catAx>
        <c:axId val="4101458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a-ES"/>
          </a:p>
        </c:txPr>
        <c:crossAx val="410153376"/>
        <c:crosses val="autoZero"/>
        <c:auto val="1"/>
        <c:lblAlgn val="ctr"/>
        <c:lblOffset val="100"/>
        <c:noMultiLvlLbl val="0"/>
      </c:catAx>
      <c:valAx>
        <c:axId val="41015337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410145832"/>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a-ES"/>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a-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a-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2019</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Gràfics!$B$3:$E$3</c:f>
              <c:strCache>
                <c:ptCount val="4"/>
                <c:pt idx="0">
                  <c:v>Presentació</c:v>
                </c:pt>
                <c:pt idx="1">
                  <c:v>Accessibilitat</c:v>
                </c:pt>
                <c:pt idx="2">
                  <c:v>Contingut</c:v>
                </c:pt>
                <c:pt idx="3">
                  <c:v>Font, format i actualització</c:v>
                </c:pt>
              </c:strCache>
            </c:strRef>
          </c:cat>
          <c:val>
            <c:numRef>
              <c:f>Gràfics!$B$12:$E$12</c:f>
              <c:numCache>
                <c:formatCode>0.00</c:formatCode>
                <c:ptCount val="4"/>
                <c:pt idx="0">
                  <c:v>94.927083333333343</c:v>
                </c:pt>
                <c:pt idx="1">
                  <c:v>94.940304487179475</c:v>
                </c:pt>
                <c:pt idx="2">
                  <c:v>91.615162037037038</c:v>
                </c:pt>
                <c:pt idx="3">
                  <c:v>83.636128917378912</c:v>
                </c:pt>
              </c:numCache>
            </c:numRef>
          </c:val>
          <c:extLst>
            <c:ext xmlns:c16="http://schemas.microsoft.com/office/drawing/2014/chart" uri="{C3380CC4-5D6E-409C-BE32-E72D297353CC}">
              <c16:uniqueId val="{00000000-1C2D-4E11-A4D0-EDC650B553D7}"/>
            </c:ext>
          </c:extLst>
        </c:ser>
        <c:ser>
          <c:idx val="1"/>
          <c:order val="1"/>
          <c:tx>
            <c:v>2018</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ca-E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Gràfics!$B$3:$E$3</c:f>
              <c:strCache>
                <c:ptCount val="4"/>
                <c:pt idx="0">
                  <c:v>Presentació</c:v>
                </c:pt>
                <c:pt idx="1">
                  <c:v>Accessibilitat</c:v>
                </c:pt>
                <c:pt idx="2">
                  <c:v>Contingut</c:v>
                </c:pt>
                <c:pt idx="3">
                  <c:v>Font, format i actualització</c:v>
                </c:pt>
              </c:strCache>
            </c:strRef>
          </c:cat>
          <c:val>
            <c:numRef>
              <c:f>Gràfics!$B$13:$E$13</c:f>
              <c:numCache>
                <c:formatCode>General</c:formatCode>
                <c:ptCount val="4"/>
                <c:pt idx="0">
                  <c:v>91.39</c:v>
                </c:pt>
                <c:pt idx="1">
                  <c:v>96.92</c:v>
                </c:pt>
                <c:pt idx="2">
                  <c:v>91.48</c:v>
                </c:pt>
                <c:pt idx="3">
                  <c:v>84.99</c:v>
                </c:pt>
              </c:numCache>
            </c:numRef>
          </c:val>
          <c:extLst>
            <c:ext xmlns:c16="http://schemas.microsoft.com/office/drawing/2014/chart" uri="{C3380CC4-5D6E-409C-BE32-E72D297353CC}">
              <c16:uniqueId val="{00000001-1C2D-4E11-A4D0-EDC650B553D7}"/>
            </c:ext>
          </c:extLst>
        </c:ser>
        <c:dLbls>
          <c:dLblPos val="inEnd"/>
          <c:showLegendKey val="0"/>
          <c:showVal val="1"/>
          <c:showCatName val="0"/>
          <c:showSerName val="0"/>
          <c:showPercent val="0"/>
          <c:showBubbleSize val="0"/>
        </c:dLbls>
        <c:gapWidth val="65"/>
        <c:axId val="552785224"/>
        <c:axId val="552787848"/>
      </c:barChart>
      <c:catAx>
        <c:axId val="55278522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ca-ES"/>
          </a:p>
        </c:txPr>
        <c:crossAx val="552787848"/>
        <c:crosses val="autoZero"/>
        <c:auto val="1"/>
        <c:lblAlgn val="ctr"/>
        <c:lblOffset val="100"/>
        <c:noMultiLvlLbl val="0"/>
      </c:catAx>
      <c:valAx>
        <c:axId val="5527878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552785224"/>
        <c:crosses val="autoZero"/>
        <c:crossBetween val="between"/>
      </c:valAx>
      <c:dTable>
        <c:showHorzBorder val="1"/>
        <c:showVertBorder val="1"/>
        <c:showOutline val="1"/>
        <c:showKeys val="1"/>
        <c:spPr>
          <a:noFill/>
          <a:ln w="9525">
            <a:solidFill>
              <a:schemeClr val="dk1">
                <a:lumMod val="35000"/>
                <a:lumOff val="65000"/>
              </a:schemeClr>
            </a:solidFill>
          </a:ln>
          <a:effectLst/>
        </c:spPr>
        <c:txPr>
          <a:bodyPr rot="0" spcFirstLastPara="1" vertOverflow="ellipsis" vert="horz" wrap="square" anchor="ctr" anchorCtr="1"/>
          <a:lstStyle/>
          <a:p>
            <a:pPr rtl="0">
              <a:defRPr sz="900" b="0" i="0" u="none" strike="noStrike" kern="1200" baseline="0">
                <a:solidFill>
                  <a:schemeClr val="dk1">
                    <a:lumMod val="75000"/>
                    <a:lumOff val="25000"/>
                  </a:schemeClr>
                </a:solidFill>
                <a:latin typeface="+mn-lt"/>
                <a:ea typeface="+mn-ea"/>
                <a:cs typeface="+mn-cs"/>
              </a:defRPr>
            </a:pPr>
            <a:endParaRPr lang="ca-ES"/>
          </a:p>
        </c:txPr>
      </c:dTable>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ca-E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B68E5A448422429EE08735C3C2CC69" ma:contentTypeVersion="1" ma:contentTypeDescription="Crea un document nou" ma:contentTypeScope="" ma:versionID="a39dc6b9a29fa12a4f8916c898a0e7a9">
  <xsd:schema xmlns:xsd="http://www.w3.org/2001/XMLSchema" xmlns:xs="http://www.w3.org/2001/XMLSchema" xmlns:p="http://schemas.microsoft.com/office/2006/metadata/properties" xmlns:ns1="http://schemas.microsoft.com/sharepoint/v3" targetNamespace="http://schemas.microsoft.com/office/2006/metadata/properties" ma:root="true" ma:fieldsID="2a4574c007873bcc1c2d45ff6fd9ee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85B1-15F3-430F-A608-B96872712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4622F3-1414-42EF-B1C4-ACE579EBD66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01979E-33A5-47A5-AD34-1FE7FDBAB589}">
  <ds:schemaRefs>
    <ds:schemaRef ds:uri="http://schemas.microsoft.com/sharepoint/v3/contenttype/forms"/>
  </ds:schemaRefs>
</ds:datastoreItem>
</file>

<file path=customXml/itemProps4.xml><?xml version="1.0" encoding="utf-8"?>
<ds:datastoreItem xmlns:ds="http://schemas.openxmlformats.org/officeDocument/2006/customXml" ds:itemID="{93C04AE0-CC4C-4F39-9888-9403D6624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sgeneral_inf_tcm344-309871.dotx</Template>
  <TotalTime>0</TotalTime>
  <Pages>19</Pages>
  <Words>5395</Words>
  <Characters>30756</Characters>
  <Application>Microsoft Office Word</Application>
  <DocSecurity>0</DocSecurity>
  <Lines>256</Lines>
  <Paragraphs>72</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36079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inf</cp:keywords>
  <cp:lastModifiedBy/>
  <cp:revision>1</cp:revision>
  <dcterms:created xsi:type="dcterms:W3CDTF">2019-07-11T08:06:00Z</dcterms:created>
  <dcterms:modified xsi:type="dcterms:W3CDTF">2019-07-23T11:20:00Z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0x0101004BB68E5A448422429EE08735C3C2CC69</vt:lpwstr>
  </property>
  <property fmtid="{D5CDD505-2E9C-101B-9397-08002B2CF9AE}" pid="3" name="Order">
    <vt:r8>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