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A3052" w:rsidR="00B71D13" w:rsidP="00CC5EA7" w:rsidRDefault="00CC5EA7" w14:paraId="3BF6696E" w14:textId="07451BDC">
      <w:pPr>
        <w:pStyle w:val="Ttol1"/>
      </w:pPr>
      <w:r w:rsidRPr="009A3052">
        <w:t xml:space="preserve">EIX </w:t>
      </w:r>
      <w:r w:rsidRPr="009A3052" w:rsidR="0057075B">
        <w:t>4</w:t>
      </w:r>
      <w:r w:rsidRPr="009A3052">
        <w:t xml:space="preserve">: </w:t>
      </w:r>
      <w:r w:rsidRPr="009A3052" w:rsidR="0057075B">
        <w:t>ACCESSIBILITAT I DIVERSITAT</w:t>
      </w:r>
    </w:p>
    <w:p w:rsidRPr="009A3052" w:rsidR="00CC5EA7" w:rsidP="00CC5EA7" w:rsidRDefault="00CC5EA7" w14:paraId="5CAD83D3" w14:textId="77777777"/>
    <w:p w:rsidRPr="009A3052" w:rsidR="002E32A7" w:rsidP="00B71D13" w:rsidRDefault="002E32A7" w14:paraId="758DA10C" w14:textId="44E648E3">
      <w:r w:rsidRPr="009A3052">
        <w:t>Procés participatiu de la nova llei de participació ciutadana</w:t>
      </w:r>
      <w:r w:rsidRPr="009A3052" w:rsidR="0098370A">
        <w:t xml:space="preserve"> de Catalunya</w:t>
      </w:r>
    </w:p>
    <w:p w:rsidRPr="009A3052" w:rsidR="0098370A" w:rsidP="00B71D13" w:rsidRDefault="009A3052" w14:paraId="17AD33E6" w14:textId="2BE42989">
      <w:hyperlink w:history="1" r:id="rId11">
        <w:r w:rsidRPr="009A3052" w:rsidR="0098370A">
          <w:rPr>
            <w:rStyle w:val="Enlla"/>
          </w:rPr>
          <w:t>https://participa.gencat.cat/processes/novalleiparticipacio</w:t>
        </w:r>
      </w:hyperlink>
      <w:r w:rsidRPr="009A3052" w:rsidR="0098370A">
        <w:t xml:space="preserve"> </w:t>
      </w:r>
    </w:p>
    <w:p w:rsidRPr="009A3052" w:rsidR="002E32A7" w:rsidP="00B71D13" w:rsidRDefault="002E32A7" w14:paraId="30294EBC" w14:textId="77777777">
      <w:pPr>
        <w:sectPr w:rsidRPr="009A3052" w:rsidR="002E32A7" w:rsidSect="003864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orient="portrait" w:code="9"/>
          <w:pgMar w:top="2835" w:right="1134" w:bottom="1985" w:left="1701" w:header="709" w:footer="567" w:gutter="0"/>
          <w:cols w:space="708"/>
          <w:titlePg/>
          <w:docGrid w:linePitch="360"/>
        </w:sectPr>
      </w:pPr>
    </w:p>
    <w:p w:rsidRPr="009A3052" w:rsidR="00714A61" w:rsidP="0098370A" w:rsidRDefault="00714A61" w14:paraId="37B58A6D" w14:textId="3650EA43">
      <w:pPr>
        <w:pStyle w:val="Ttol1"/>
        <w:spacing w:before="120"/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1857"/>
        <w:gridCol w:w="7210"/>
      </w:tblGrid>
      <w:tr w:rsidRPr="009A3052" w:rsidR="0057075B" w:rsidTr="435BB151" w14:paraId="654C92A8" w14:textId="77777777">
        <w:tc>
          <w:tcPr>
            <w:tcW w:w="1857" w:type="dxa"/>
            <w:tcMar/>
          </w:tcPr>
          <w:p w:rsidRPr="009A3052" w:rsidR="0057075B" w:rsidP="0057075B" w:rsidRDefault="0057075B" w14:paraId="57F942E2" w14:textId="75ECDCEC">
            <w:pPr>
              <w:spacing w:before="120" w:after="120"/>
              <w:rPr>
                <w:b/>
              </w:rPr>
            </w:pPr>
            <w:r w:rsidRPr="009A3052">
              <w:rPr>
                <w:b/>
              </w:rPr>
              <w:t>Explic</w:t>
            </w:r>
            <w:r w:rsidRPr="009A3052" w:rsidR="009A3052">
              <w:rPr>
                <w:b/>
              </w:rPr>
              <w:t>ació de l’e</w:t>
            </w:r>
            <w:r w:rsidRPr="009A3052">
              <w:rPr>
                <w:b/>
              </w:rPr>
              <w:t xml:space="preserve">ix </w:t>
            </w:r>
            <w:r w:rsidRPr="009A3052" w:rsidR="009A3052">
              <w:rPr>
                <w:b/>
              </w:rPr>
              <w:t>4</w:t>
            </w:r>
          </w:p>
        </w:tc>
        <w:tc>
          <w:tcPr>
            <w:tcW w:w="7210" w:type="dxa"/>
            <w:tcMar/>
          </w:tcPr>
          <w:p w:rsidRPr="009A3052" w:rsidR="0057075B" w:rsidP="0057075B" w:rsidRDefault="0057075B" w14:paraId="45348902" w14:textId="77777777">
            <w:pPr>
              <w:spacing w:before="120" w:after="120"/>
            </w:pPr>
            <w:r w:rsidRPr="009A3052">
              <w:t xml:space="preserve">La </w:t>
            </w:r>
            <w:r w:rsidRPr="009A3052">
              <w:rPr>
                <w:b/>
              </w:rPr>
              <w:t>inclusió</w:t>
            </w:r>
            <w:r w:rsidRPr="009A3052">
              <w:t xml:space="preserve"> de diferents perfils i visions en qualsevol fase del cicle de les polítiques públiques (disseny, execució, seguiment, avaluació) és </w:t>
            </w:r>
            <w:r w:rsidRPr="009A3052">
              <w:rPr>
                <w:b/>
              </w:rPr>
              <w:t>fonamental per garantir una participació ciutadana de qualitat</w:t>
            </w:r>
            <w:r w:rsidRPr="009A3052">
              <w:t>.</w:t>
            </w:r>
          </w:p>
          <w:p w:rsidRPr="009A3052" w:rsidR="0057075B" w:rsidP="0057075B" w:rsidRDefault="0057075B" w14:paraId="3B870D9A" w14:textId="77777777">
            <w:pPr>
              <w:spacing w:before="120" w:after="120"/>
            </w:pPr>
            <w:r w:rsidRPr="009A3052">
              <w:t xml:space="preserve">En aquest sentit, recordem </w:t>
            </w:r>
            <w:r w:rsidRPr="009A3052">
              <w:rPr>
                <w:b/>
              </w:rPr>
              <w:t>dos dels principals objectius</w:t>
            </w:r>
            <w:r w:rsidRPr="009A3052">
              <w:t xml:space="preserve"> de les polítiques de participació ciutadana:</w:t>
            </w:r>
          </w:p>
          <w:p w:rsidRPr="009A3052" w:rsidR="0057075B" w:rsidP="0057075B" w:rsidRDefault="0057075B" w14:paraId="72A62C11" w14:textId="77777777">
            <w:pPr>
              <w:pStyle w:val="Pargrafdellista"/>
              <w:numPr>
                <w:ilvl w:val="0"/>
                <w:numId w:val="21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A3052">
              <w:t xml:space="preserve">Recollir les diferents visions de la ciutadania per </w:t>
            </w:r>
            <w:r w:rsidRPr="009A3052">
              <w:rPr>
                <w:b/>
              </w:rPr>
              <w:t>millorar l’eficàcia de les polítiques públiques</w:t>
            </w:r>
            <w:r w:rsidRPr="009A3052">
              <w:t>.</w:t>
            </w:r>
          </w:p>
          <w:p w:rsidRPr="009A3052" w:rsidR="0057075B" w:rsidP="0057075B" w:rsidRDefault="0057075B" w14:paraId="6BF575F2" w14:textId="77777777">
            <w:pPr>
              <w:pStyle w:val="Pargrafdellista"/>
              <w:numPr>
                <w:ilvl w:val="0"/>
                <w:numId w:val="21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A3052">
              <w:t xml:space="preserve">Incorporar veus que no tenen accés a altres canals d’interlocució amb l’administració per </w:t>
            </w:r>
            <w:r w:rsidRPr="009A3052">
              <w:rPr>
                <w:b/>
              </w:rPr>
              <w:t>millorar la qualitat democràtica</w:t>
            </w:r>
            <w:r w:rsidRPr="009A3052">
              <w:t xml:space="preserve"> de les nostres institucions.</w:t>
            </w:r>
          </w:p>
          <w:p w:rsidRPr="009A3052" w:rsidR="0057075B" w:rsidP="0057075B" w:rsidRDefault="0057075B" w14:paraId="0D045CE1" w14:textId="77777777">
            <w:pPr>
              <w:spacing w:before="120" w:after="120"/>
            </w:pPr>
            <w:r w:rsidRPr="009A3052">
              <w:t xml:space="preserve">Així doncs, l’objectiu de remoure els obstacles per </w:t>
            </w:r>
            <w:r w:rsidRPr="009A3052">
              <w:rPr>
                <w:b/>
                <w:bCs/>
              </w:rPr>
              <w:t>garantir el dret de participació de totes les persones</w:t>
            </w:r>
            <w:r w:rsidRPr="009A3052">
              <w:t xml:space="preserve"> ha d’estar al centre de qualsevol política de participació ciutadana, i com no, </w:t>
            </w:r>
            <w:r w:rsidRPr="009A3052">
              <w:rPr>
                <w:b/>
                <w:bCs/>
              </w:rPr>
              <w:t>al centre de la nova llei de participació ciutadana</w:t>
            </w:r>
            <w:r w:rsidRPr="009A3052">
              <w:t>.</w:t>
            </w:r>
          </w:p>
          <w:p w:rsidRPr="009A3052" w:rsidR="0057075B" w:rsidP="0057075B" w:rsidRDefault="0057075B" w14:paraId="754B7235" w14:textId="0617D926">
            <w:pPr>
              <w:spacing w:before="120" w:after="120"/>
            </w:pPr>
            <w:r w:rsidR="0057075B">
              <w:rPr/>
              <w:t xml:space="preserve">L’eix d’accessibilitat i diversitat és un </w:t>
            </w:r>
            <w:r w:rsidRPr="435BB151" w:rsidR="0057075B">
              <w:rPr>
                <w:b w:val="1"/>
                <w:bCs w:val="1"/>
              </w:rPr>
              <w:t>eix transversal</w:t>
            </w:r>
            <w:r w:rsidR="0057075B">
              <w:rPr/>
              <w:t xml:space="preserve"> a la resta d’eixos. En concret, les mesures que s’activen per garantir aquesta inclusió dels diferents perfils formen part del </w:t>
            </w:r>
            <w:r w:rsidRPr="435BB151" w:rsidR="0057075B">
              <w:rPr>
                <w:b w:val="1"/>
                <w:bCs w:val="1"/>
              </w:rPr>
              <w:t xml:space="preserve">compromís institucional </w:t>
            </w:r>
            <w:r w:rsidR="0057075B">
              <w:rPr/>
              <w:t xml:space="preserve">amb la participació ciutadana. D’altra banda, els agents o perfils indispensables per garantir una participació diversa i de qualitat han de quedar identificats amb claredat a les </w:t>
            </w:r>
            <w:r w:rsidRPr="435BB151" w:rsidR="0057075B">
              <w:rPr>
                <w:b w:val="1"/>
                <w:bCs w:val="1"/>
              </w:rPr>
              <w:t>regles del joc</w:t>
            </w:r>
            <w:r w:rsidRPr="435BB151" w:rsidR="00DCC605">
              <w:rPr>
                <w:b w:val="1"/>
                <w:bCs w:val="1"/>
              </w:rPr>
              <w:t>.</w:t>
            </w:r>
            <w:r w:rsidR="00DCC605">
              <w:rPr>
                <w:b w:val="0"/>
                <w:bCs w:val="0"/>
              </w:rPr>
              <w:t xml:space="preserve"> I</w:t>
            </w:r>
            <w:r w:rsidRPr="435BB151" w:rsidR="00DCC605">
              <w:rPr>
                <w:b w:val="1"/>
                <w:bCs w:val="1"/>
              </w:rPr>
              <w:t xml:space="preserve"> </w:t>
            </w:r>
            <w:r w:rsidR="0057075B">
              <w:rPr/>
              <w:t xml:space="preserve">com no, </w:t>
            </w:r>
            <w:r w:rsidR="50522F71">
              <w:rPr/>
              <w:t>a l'hora d’</w:t>
            </w:r>
            <w:r w:rsidR="0057075B">
              <w:rPr/>
              <w:t xml:space="preserve">activar qualsevol </w:t>
            </w:r>
            <w:r w:rsidRPr="435BB151" w:rsidR="0057075B">
              <w:rPr>
                <w:b w:val="1"/>
                <w:bCs w:val="1"/>
              </w:rPr>
              <w:t xml:space="preserve">modalitat participativa </w:t>
            </w:r>
            <w:r w:rsidR="0057075B">
              <w:rPr/>
              <w:t>caldrà tenir en compte les variables d’exclusió de la participació.</w:t>
            </w:r>
          </w:p>
          <w:p w:rsidRPr="009A3052" w:rsidR="0057075B" w:rsidP="0057075B" w:rsidRDefault="0057075B" w14:paraId="651A7DF1" w14:textId="77777777">
            <w:pPr>
              <w:spacing w:before="120" w:after="120"/>
            </w:pPr>
            <w:r w:rsidRPr="009A3052">
              <w:t xml:space="preserve">Cal no oblidar que malgrat s’escapi de l’àmbit objectiu d’aquesta llei, les possibilitats de participar també tenen a veure amb les condicions materials de la població, en si es tenen cobertes, o no, les necessitats bàsiques, el nivell sociocultural i econòmic. </w:t>
            </w:r>
          </w:p>
          <w:p w:rsidRPr="009A3052" w:rsidR="0057075B" w:rsidP="0057075B" w:rsidRDefault="0057075B" w14:paraId="6409C161" w14:textId="3CA9D01F">
            <w:pPr>
              <w:spacing w:before="120" w:after="120"/>
              <w:rPr>
                <w:highlight w:val="yellow"/>
              </w:rPr>
            </w:pPr>
            <w:r w:rsidR="0057075B">
              <w:rPr/>
              <w:t xml:space="preserve">També hi entren altres factors, com ara les dificultats de desplaçament amb transport públic fora dels nuclis urbans i la falta de descentralització territorial de les sessions dels processos participatius, </w:t>
            </w:r>
            <w:r w:rsidR="08305DE6">
              <w:rPr/>
              <w:t>q</w:t>
            </w:r>
            <w:r w:rsidR="0057075B">
              <w:rPr/>
              <w:t>üestions aquestes en què sí que es pot incidir a través del disseny dels mecanismes de participació.</w:t>
            </w:r>
          </w:p>
        </w:tc>
      </w:tr>
      <w:tr w:rsidRPr="009A3052" w:rsidR="0057075B" w:rsidTr="435BB151" w14:paraId="48DB0F0E" w14:textId="77777777">
        <w:tc>
          <w:tcPr>
            <w:tcW w:w="1857" w:type="dxa"/>
            <w:tcMar/>
          </w:tcPr>
          <w:p w:rsidRPr="009A3052" w:rsidR="0057075B" w:rsidP="0057075B" w:rsidRDefault="0057075B" w14:paraId="20967577" w14:textId="77777777">
            <w:pPr>
              <w:spacing w:before="120" w:after="120"/>
              <w:rPr>
                <w:b/>
              </w:rPr>
            </w:pPr>
            <w:r w:rsidRPr="009A3052">
              <w:rPr>
                <w:b/>
              </w:rPr>
              <w:t>Situació actual</w:t>
            </w:r>
          </w:p>
        </w:tc>
        <w:tc>
          <w:tcPr>
            <w:tcW w:w="7210" w:type="dxa"/>
            <w:tcMar/>
          </w:tcPr>
          <w:p w:rsidRPr="009A3052" w:rsidR="0057075B" w:rsidP="0057075B" w:rsidRDefault="0057075B" w14:paraId="73A18E89" w14:textId="77777777">
            <w:pPr>
              <w:spacing w:before="120" w:after="120"/>
            </w:pPr>
            <w:r w:rsidRPr="009A3052">
              <w:t xml:space="preserve">A dia d’avui, una de les mancances més flagrants dels mecanismes de participació impulsats des de les administracions és la </w:t>
            </w:r>
            <w:r w:rsidRPr="009A3052">
              <w:rPr>
                <w:b/>
              </w:rPr>
              <w:t>incapacitat d’arribar a col·lectius amb menys tendència a participar</w:t>
            </w:r>
            <w:r w:rsidRPr="009A3052">
              <w:t xml:space="preserve"> com per exemple joves, gent gran o persones nascudes fora de Catalunya.</w:t>
            </w:r>
          </w:p>
          <w:p w:rsidRPr="009A3052" w:rsidR="0057075B" w:rsidP="0057075B" w:rsidRDefault="0057075B" w14:paraId="6ED9F0A7" w14:textId="77777777">
            <w:pPr>
              <w:keepNext/>
              <w:spacing w:before="120" w:after="120"/>
              <w:rPr>
                <w:b/>
                <w:bCs/>
              </w:rPr>
            </w:pPr>
            <w:r w:rsidRPr="009A3052">
              <w:rPr>
                <w:b/>
                <w:bCs/>
              </w:rPr>
              <w:t>Les xifres:</w:t>
            </w:r>
          </w:p>
          <w:p w:rsidRPr="009A3052" w:rsidR="0057075B" w:rsidP="0057075B" w:rsidRDefault="0057075B" w14:paraId="18B7A2CC" w14:textId="77777777">
            <w:pPr>
              <w:keepNext/>
              <w:spacing w:before="120" w:after="120"/>
            </w:pPr>
            <w:r w:rsidRPr="009A3052">
              <w:t>Pel que fa a la dificultat per arribar als</w:t>
            </w:r>
            <w:r w:rsidRPr="009A3052">
              <w:rPr>
                <w:b/>
                <w:bCs/>
              </w:rPr>
              <w:t xml:space="preserve"> col·lectius</w:t>
            </w:r>
            <w:r w:rsidRPr="009A3052">
              <w:t xml:space="preserve"> que </w:t>
            </w:r>
            <w:r w:rsidRPr="009A3052">
              <w:rPr>
                <w:b/>
                <w:bCs/>
              </w:rPr>
              <w:t xml:space="preserve">menys participen, d’acord al </w:t>
            </w:r>
            <w:hyperlink r:id="rId17">
              <w:r w:rsidRPr="009A3052">
                <w:rPr>
                  <w:rStyle w:val="Enlla"/>
                </w:rPr>
                <w:t>Panel de polítiques locals 2020</w:t>
              </w:r>
            </w:hyperlink>
            <w:r w:rsidRPr="009A3052">
              <w:t>:</w:t>
            </w:r>
          </w:p>
          <w:p w:rsidRPr="009A3052" w:rsidR="0057075B" w:rsidP="435BB151" w:rsidRDefault="0057075B" w14:paraId="57ED347D" w14:textId="3AE7803F">
            <w:pPr>
              <w:pStyle w:val="Pargrafdellista"/>
              <w:numPr>
                <w:ilvl w:val="0"/>
                <w:numId w:val="20"/>
              </w:numPr>
              <w:shd w:val="clear" w:color="auto" w:fill="auto"/>
              <w:spacing w:before="120" w:after="120" w:line="240" w:lineRule="auto"/>
              <w:rPr/>
            </w:pPr>
            <w:r w:rsidR="0057075B">
              <w:rPr/>
              <w:t>El 51 % dels ajuntaments catalans consideren necessari revisar les seves estratègies i instruments de promoció de la participació virtual</w:t>
            </w:r>
            <w:r w:rsidR="1FFFE12A">
              <w:rPr/>
              <w:t>,</w:t>
            </w:r>
            <w:r w:rsidR="0057075B">
              <w:rPr/>
              <w:t xml:space="preserve">  segons el </w:t>
            </w:r>
            <w:r w:rsidR="3D82EFD8">
              <w:rPr/>
              <w:t>panel</w:t>
            </w:r>
            <w:r w:rsidRPr="435BB151" w:rsidR="0057075B">
              <w:rPr>
                <w:b w:val="1"/>
                <w:bCs w:val="1"/>
              </w:rPr>
              <w:t xml:space="preserve"> </w:t>
            </w:r>
            <w:r w:rsidR="0057075B">
              <w:rPr/>
              <w:t>que recopila dades dels municipis de més de 10 mil habitants.</w:t>
            </w:r>
          </w:p>
          <w:p w:rsidRPr="009A3052" w:rsidR="0057075B" w:rsidP="0057075B" w:rsidRDefault="0057075B" w14:paraId="42038B15" w14:textId="77777777">
            <w:pPr>
              <w:pStyle w:val="Pargrafdellista"/>
              <w:numPr>
                <w:ilvl w:val="0"/>
                <w:numId w:val="20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A3052">
              <w:t>El 10,2 % dels ajuntaments veuen també necessari la revisió de les estratègies i instruments de promoció de la participació presencial i del funcionament dels mecanismes participatius també d’acord amb el Panel 2020.</w:t>
            </w:r>
          </w:p>
          <w:p w:rsidRPr="009A3052" w:rsidR="0057075B" w:rsidP="0057075B" w:rsidRDefault="0057075B" w14:paraId="1CFB7F25" w14:textId="77777777">
            <w:pPr>
              <w:pStyle w:val="Pargrafdellista"/>
              <w:numPr>
                <w:ilvl w:val="0"/>
                <w:numId w:val="20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A3052">
              <w:t>Les principals preocupacions dels municipis en la participació ciutadana són:</w:t>
            </w:r>
          </w:p>
          <w:p w:rsidRPr="009A3052" w:rsidR="0057075B" w:rsidP="0057075B" w:rsidRDefault="0057075B" w14:paraId="77497219" w14:textId="77777777">
            <w:pPr>
              <w:pStyle w:val="Pargrafdellista"/>
              <w:numPr>
                <w:ilvl w:val="1"/>
                <w:numId w:val="20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A3052">
              <w:t>En primer lloc, els col·lectius que habitualment no participen.</w:t>
            </w:r>
          </w:p>
          <w:p w:rsidRPr="009A3052" w:rsidR="0057075B" w:rsidP="0057075B" w:rsidRDefault="0057075B" w14:paraId="57AB2A1C" w14:textId="77777777">
            <w:pPr>
              <w:pStyle w:val="Pargrafdellista"/>
              <w:numPr>
                <w:ilvl w:val="1"/>
                <w:numId w:val="20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A3052">
              <w:t>En tercer lloc, l’escassa participació ciutadana a les convocatòries que fa l’ajuntament.</w:t>
            </w:r>
          </w:p>
          <w:p w:rsidRPr="009A3052" w:rsidR="0057075B" w:rsidP="435BB151" w:rsidRDefault="0057075B" w14:paraId="5C7B45EB" w14:textId="731A4AC4">
            <w:pPr>
              <w:pStyle w:val="Pargrafdellista"/>
              <w:numPr>
                <w:ilvl w:val="0"/>
                <w:numId w:val="20"/>
              </w:numPr>
              <w:shd w:val="clear" w:color="auto" w:fill="auto"/>
              <w:spacing w:before="120" w:after="120" w:line="240" w:lineRule="auto"/>
              <w:rPr/>
            </w:pPr>
            <w:r w:rsidR="0057075B">
              <w:rPr/>
              <w:t>Només el 39,8 % dels enquestats està molt d’acord o bastant d’acord amb que la proporció de ciutadania afectada per la bretxa digital es reduirà a mínims en el curt termini.</w:t>
            </w:r>
          </w:p>
          <w:p w:rsidRPr="009A3052" w:rsidR="0057075B" w:rsidP="0057075B" w:rsidRDefault="0057075B" w14:paraId="38C5580A" w14:textId="77777777">
            <w:pPr>
              <w:spacing w:before="120" w:after="120"/>
            </w:pPr>
            <w:r w:rsidRPr="009A3052">
              <w:t xml:space="preserve">Sobre els </w:t>
            </w:r>
            <w:r w:rsidRPr="009A3052">
              <w:rPr>
                <w:b/>
                <w:bCs/>
              </w:rPr>
              <w:t>perfils de participants</w:t>
            </w:r>
            <w:r w:rsidRPr="009A3052">
              <w:t>:</w:t>
            </w:r>
          </w:p>
          <w:p w:rsidRPr="009A3052" w:rsidR="0057075B" w:rsidP="0057075B" w:rsidRDefault="0057075B" w14:paraId="05CF43C4" w14:textId="77777777">
            <w:pPr>
              <w:pStyle w:val="Pargrafdellista"/>
              <w:numPr>
                <w:ilvl w:val="0"/>
                <w:numId w:val="20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A3052">
              <w:t xml:space="preserve">El perfil més nombrós de persona que més participa </w:t>
            </w:r>
            <w:hyperlink r:id="rId18">
              <w:r w:rsidRPr="009A3052">
                <w:rPr>
                  <w:rStyle w:val="Enlla"/>
                </w:rPr>
                <w:t>als processos de la Generalitat de Catalunya (dades 2018-2019)</w:t>
              </w:r>
            </w:hyperlink>
            <w:r w:rsidRPr="009A3052">
              <w:t xml:space="preserve"> és Dona (63 %); Edat entre 35 i 54 anys (45 %); Nascuda a Catalunya (79 %); Ocupada (81 %) al sector serveis; Amb estudis universitaris (81 %); I que viu a l’àmbit metropolità (44 %).</w:t>
            </w:r>
          </w:p>
          <w:p w:rsidRPr="009A3052" w:rsidR="0057075B" w:rsidP="0057075B" w:rsidRDefault="0057075B" w14:paraId="7B6766AE" w14:textId="77777777">
            <w:pPr>
              <w:pStyle w:val="Pargrafdellista"/>
              <w:numPr>
                <w:ilvl w:val="0"/>
                <w:numId w:val="20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A3052">
              <w:t>Els perfils menys present en els processos participatius de la Generalitat és el de joves i jubilats, nascuts fora de Catalunya, no ocupats o ocupats en sectors que no són serveis i que han completat estudis secundaris.</w:t>
            </w:r>
          </w:p>
        </w:tc>
      </w:tr>
      <w:tr w:rsidRPr="009A3052" w:rsidR="0057075B" w:rsidTr="435BB151" w14:paraId="0B8DD6E9" w14:textId="77777777">
        <w:tc>
          <w:tcPr>
            <w:tcW w:w="1857" w:type="dxa"/>
            <w:tcMar/>
          </w:tcPr>
          <w:p w:rsidRPr="009A3052" w:rsidR="0057075B" w:rsidP="0057075B" w:rsidRDefault="0057075B" w14:paraId="5BF715FD" w14:textId="77777777">
            <w:pPr>
              <w:spacing w:before="120" w:after="120"/>
              <w:rPr>
                <w:b/>
              </w:rPr>
            </w:pPr>
            <w:r w:rsidRPr="009A3052">
              <w:rPr>
                <w:b/>
              </w:rPr>
              <w:t>Previsions normatives</w:t>
            </w:r>
          </w:p>
        </w:tc>
        <w:tc>
          <w:tcPr>
            <w:tcW w:w="7210" w:type="dxa"/>
            <w:tcMar/>
          </w:tcPr>
          <w:p w:rsidRPr="009A3052" w:rsidR="0057075B" w:rsidP="0057075B" w:rsidRDefault="0057075B" w14:paraId="54EF532A" w14:textId="77777777">
            <w:pPr>
              <w:spacing w:before="120" w:after="120"/>
              <w:rPr>
                <w:b/>
                <w:bCs/>
              </w:rPr>
            </w:pPr>
            <w:r w:rsidRPr="009A3052">
              <w:rPr>
                <w:b/>
                <w:bCs/>
              </w:rPr>
              <w:t>Normativa sobre accessibilitat d’espais i portals:</w:t>
            </w:r>
          </w:p>
          <w:p w:rsidRPr="009A3052" w:rsidR="0057075B" w:rsidP="0057075B" w:rsidRDefault="009A3052" w14:paraId="7C56560F" w14:textId="77777777">
            <w:pPr>
              <w:pStyle w:val="Pargrafdellista"/>
              <w:numPr>
                <w:ilvl w:val="0"/>
                <w:numId w:val="19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hyperlink r:id="rId19">
              <w:r w:rsidRPr="009A3052" w:rsidR="0057075B">
                <w:rPr>
                  <w:rStyle w:val="Enlla"/>
                </w:rPr>
                <w:t>Llei 13/2014, de 30 d’octubre, d’accessibilitat.</w:t>
              </w:r>
            </w:hyperlink>
          </w:p>
          <w:p w:rsidRPr="009A3052" w:rsidR="0057075B" w:rsidP="0057075B" w:rsidRDefault="009A3052" w14:paraId="17307B8E" w14:textId="77777777">
            <w:pPr>
              <w:pStyle w:val="Pargrafdellista"/>
              <w:numPr>
                <w:ilvl w:val="0"/>
                <w:numId w:val="19"/>
              </w:numPr>
              <w:shd w:val="clear" w:color="auto" w:fill="auto"/>
              <w:spacing w:before="120" w:after="120" w:line="240" w:lineRule="auto"/>
              <w:contextualSpacing w:val="0"/>
            </w:pPr>
            <w:hyperlink r:id="rId20">
              <w:r w:rsidRPr="009A3052" w:rsidR="0057075B">
                <w:rPr>
                  <w:rStyle w:val="Enlla"/>
                </w:rPr>
                <w:t>Reial decret 1112/2018, de 7 de setembre, sobre accessibilitat dels llocs web i aplicacions per a dispositius mòbils del sector públic.</w:t>
              </w:r>
            </w:hyperlink>
          </w:p>
          <w:p w:rsidRPr="009A3052" w:rsidR="0057075B" w:rsidP="0057075B" w:rsidRDefault="0057075B" w14:paraId="22DCCC14" w14:textId="38987480">
            <w:pPr>
              <w:spacing w:before="120" w:after="120"/>
            </w:pPr>
            <w:r w:rsidRPr="009A3052">
              <w:rPr>
                <w:b/>
                <w:bCs/>
              </w:rPr>
              <w:t xml:space="preserve">Normativa sobre registres de participació: </w:t>
            </w:r>
            <w:r w:rsidRPr="009A3052">
              <w:rPr>
                <w:color w:val="333333"/>
                <w:sz w:val="24"/>
                <w:szCs w:val="24"/>
              </w:rPr>
              <w:t>registre de participació en el qual es poden inscriure voluntàriament les persones i les entitats.</w:t>
            </w:r>
          </w:p>
        </w:tc>
      </w:tr>
      <w:tr w:rsidRPr="009A3052" w:rsidR="0057075B" w:rsidTr="435BB151" w14:paraId="76843D08" w14:textId="77777777">
        <w:tc>
          <w:tcPr>
            <w:tcW w:w="1857" w:type="dxa"/>
            <w:tcMar/>
          </w:tcPr>
          <w:p w:rsidRPr="009A3052" w:rsidR="0057075B" w:rsidP="0057075B" w:rsidRDefault="0057075B" w14:paraId="5B7A7299" w14:textId="77777777">
            <w:pPr>
              <w:spacing w:before="120" w:after="120" w:line="259" w:lineRule="auto"/>
              <w:rPr>
                <w:b/>
                <w:bCs/>
              </w:rPr>
            </w:pPr>
            <w:r w:rsidRPr="009A3052">
              <w:rPr>
                <w:b/>
                <w:bCs/>
              </w:rPr>
              <w:t>Documentació de referència</w:t>
            </w:r>
          </w:p>
        </w:tc>
        <w:tc>
          <w:tcPr>
            <w:tcW w:w="7210" w:type="dxa"/>
            <w:tcMar/>
          </w:tcPr>
          <w:p w:rsidRPr="009A3052" w:rsidR="0057075B" w:rsidP="0057075B" w:rsidRDefault="009A3052" w14:paraId="038B3C24" w14:textId="77777777">
            <w:pPr>
              <w:spacing w:before="120" w:after="120"/>
            </w:pPr>
            <w:hyperlink r:id="rId21">
              <w:r w:rsidRPr="009A3052" w:rsidR="0057075B">
                <w:rPr>
                  <w:rStyle w:val="Enlla"/>
                </w:rPr>
                <w:t>Avaluació processos</w:t>
              </w:r>
            </w:hyperlink>
          </w:p>
          <w:p w:rsidRPr="009A3052" w:rsidR="0057075B" w:rsidP="0057075B" w:rsidRDefault="009A3052" w14:paraId="0F8EDB6A" w14:textId="77777777">
            <w:pPr>
              <w:spacing w:before="120" w:after="120"/>
            </w:pPr>
            <w:hyperlink r:id="rId22">
              <w:r w:rsidRPr="009A3052" w:rsidR="0057075B">
                <w:rPr>
                  <w:rStyle w:val="Enlla"/>
                </w:rPr>
                <w:t>Guia per incorporar la transversalitat de gènere</w:t>
              </w:r>
            </w:hyperlink>
          </w:p>
        </w:tc>
      </w:tr>
      <w:tr w:rsidRPr="009A3052" w:rsidR="0057075B" w:rsidTr="435BB151" w14:paraId="0BA9777A" w14:textId="77777777">
        <w:tc>
          <w:tcPr>
            <w:tcW w:w="1857" w:type="dxa"/>
            <w:tcMar/>
          </w:tcPr>
          <w:p w:rsidRPr="009A3052" w:rsidR="0057075B" w:rsidP="0057075B" w:rsidRDefault="0057075B" w14:paraId="4A265FB4" w14:textId="77777777">
            <w:pPr>
              <w:spacing w:before="120" w:after="120"/>
              <w:rPr>
                <w:b/>
              </w:rPr>
            </w:pPr>
            <w:r w:rsidRPr="009A3052">
              <w:rPr>
                <w:b/>
              </w:rPr>
              <w:t>Límits del debat</w:t>
            </w:r>
          </w:p>
        </w:tc>
        <w:tc>
          <w:tcPr>
            <w:tcW w:w="7210" w:type="dxa"/>
            <w:tcMar/>
          </w:tcPr>
          <w:p w:rsidRPr="009A3052" w:rsidR="0057075B" w:rsidP="0057075B" w:rsidRDefault="0057075B" w14:paraId="088C5BC6" w14:textId="6CE6D90A">
            <w:pPr>
              <w:spacing w:before="120" w:after="120"/>
              <w:rPr>
                <w:rFonts w:eastAsia="Calibri"/>
              </w:rPr>
            </w:pPr>
            <w:r w:rsidRPr="009A3052">
              <w:rPr>
                <w:rFonts w:eastAsia="Calibri"/>
              </w:rPr>
              <w:t>Les referències normatives a les consultes populars no referendàries, als referèndums o a processos electorals no són objecte d’aquest procés participatiu.</w:t>
            </w:r>
          </w:p>
        </w:tc>
      </w:tr>
    </w:tbl>
    <w:p w:rsidRPr="009A3052" w:rsidR="0057075B" w:rsidP="00AC2F72" w:rsidRDefault="0057075B" w14:paraId="11C80704" w14:textId="77777777">
      <w:pPr>
        <w:spacing w:before="120" w:after="120"/>
      </w:pPr>
      <w:bookmarkStart w:name="_GoBack" w:id="0"/>
      <w:bookmarkEnd w:id="0"/>
    </w:p>
    <w:sectPr w:rsidRPr="009A3052" w:rsidR="0057075B" w:rsidSect="006B0EC4">
      <w:pgSz w:w="11907" w:h="16840" w:orient="portrait" w:code="9"/>
      <w:pgMar w:top="1985" w:right="1134" w:bottom="1985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E1" w:rsidP="005E5E27" w:rsidRDefault="00F55BE1" w14:paraId="7CB73B6A" w14:textId="77777777">
      <w:r>
        <w:separator/>
      </w:r>
    </w:p>
  </w:endnote>
  <w:endnote w:type="continuationSeparator" w:id="0">
    <w:p w:rsidR="00F55BE1" w:rsidP="005E5E27" w:rsidRDefault="00F55BE1" w14:paraId="76F775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AA" w:rsidP="005E5E27" w:rsidRDefault="00FE39AA" w14:paraId="033D4A6D" w14:textId="7777777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FE39AA" w:rsidP="005E5E27" w:rsidRDefault="00FE39AA" w14:paraId="615CD8DD" w14:textId="7777777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D6E33" w:rsidP="00B634C1" w:rsidRDefault="00F22B55" w14:paraId="76ACB95C" w14:textId="08287B98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08254BF5" wp14:editId="19DFA5B3">
          <wp:extent cx="1234930" cy="317500"/>
          <wp:effectExtent l="0" t="0" r="3810" b="6350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db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 w:rsidR="00CD6E33">
          <w:fldChar w:fldCharType="begin"/>
        </w:r>
        <w:r w:rsidR="00CD6E33">
          <w:instrText>PAGE   \* MERGEFORMAT</w:instrText>
        </w:r>
        <w:r w:rsidR="00CD6E33">
          <w:fldChar w:fldCharType="separate"/>
        </w:r>
        <w:r w:rsidR="009A3052">
          <w:rPr>
            <w:noProof/>
          </w:rPr>
          <w:t>4</w:t>
        </w:r>
        <w:r w:rsidR="00CD6E33">
          <w:fldChar w:fldCharType="end"/>
        </w:r>
      </w:sdtContent>
    </w:sdt>
    <w:r>
      <w:tab/>
    </w:r>
    <w:r w:rsidRPr="006E7EC0" w:rsidR="00CD6E33">
      <w:rPr>
        <w:b/>
        <w:color w:val="ED7D31" w:themeColor="accent2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E7EC0" w:rsidP="00B634C1" w:rsidRDefault="00386460" w14:paraId="0FF44DDA" w14:textId="5CC34E9A">
    <w:pPr>
      <w:tabs>
        <w:tab w:val="center" w:pos="4395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21C6D0C4" wp14:editId="6343ACF1">
          <wp:extent cx="1273908" cy="343444"/>
          <wp:effectExtent l="0" t="0" r="2540" b="0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b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EC0"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Pr="00386460" w:rsidR="006E7EC0">
          <w:fldChar w:fldCharType="begin"/>
        </w:r>
        <w:r w:rsidRPr="00386460" w:rsidR="006E7EC0">
          <w:instrText>PAGE   \* MERGEFORMAT</w:instrText>
        </w:r>
        <w:r w:rsidRPr="00386460" w:rsidR="006E7EC0">
          <w:fldChar w:fldCharType="separate"/>
        </w:r>
        <w:r w:rsidR="009A3052">
          <w:rPr>
            <w:noProof/>
          </w:rPr>
          <w:t>1</w:t>
        </w:r>
        <w:r w:rsidRPr="00386460" w:rsidR="006E7EC0">
          <w:fldChar w:fldCharType="end"/>
        </w:r>
      </w:sdtContent>
    </w:sdt>
    <w:r w:rsidR="006E7EC0">
      <w:tab/>
    </w:r>
    <w:hyperlink w:history="1" r:id="rId2">
      <w:r w:rsidRPr="00386460" w:rsidR="006E7EC0">
        <w:rPr>
          <w:rStyle w:val="Enlla"/>
          <w:b/>
          <w:color w:val="ED7D31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E1" w:rsidP="005E5E27" w:rsidRDefault="00F55BE1" w14:paraId="26B473A0" w14:textId="77777777">
      <w:r>
        <w:separator/>
      </w:r>
    </w:p>
  </w:footnote>
  <w:footnote w:type="continuationSeparator" w:id="0">
    <w:p w:rsidR="00F55BE1" w:rsidP="005E5E27" w:rsidRDefault="00F55BE1" w14:paraId="541B99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3503B" w:rsidP="00386460" w:rsidRDefault="0057753C" w14:paraId="373E0687" w14:textId="3E837884">
    <w:pPr>
      <w:pStyle w:val="Capalera"/>
    </w:pPr>
    <w:r>
      <w:rPr>
        <w:noProof/>
        <w:lang w:eastAsia="ca-ES"/>
      </w:rPr>
      <w:drawing>
        <wp:inline distT="0" distB="0" distL="0" distR="0" wp14:anchorId="014AACD3" wp14:editId="28D4D612">
          <wp:extent cx="1600200" cy="372357"/>
          <wp:effectExtent l="0" t="0" r="0" b="8890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O_participaci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274" cy="37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A3052" w:rsidR="009A3052" w:rsidP="009A3052" w:rsidRDefault="009A3052" w14:paraId="54B342A2" w14:textId="33D28E95">
    <w:pPr>
      <w:pStyle w:val="Capalera"/>
      <w:jc w:val="right"/>
      <w:rPr>
        <w:color w:val="808080" w:themeColor="background1" w:themeShade="80"/>
      </w:rPr>
    </w:pPr>
    <w:r w:rsidRPr="009A3052">
      <w:rPr>
        <w:color w:val="808080" w:themeColor="background1" w:themeShade="80"/>
      </w:rPr>
      <w:t>Eix 4: accessibilitat i diversitat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E7EC0" w:rsidP="00386460" w:rsidRDefault="006E7EC0" w14:paraId="27696BFB" w14:textId="77777777">
    <w:pPr>
      <w:pStyle w:val="Capalera"/>
    </w:pPr>
    <w:r>
      <w:rPr>
        <w:noProof/>
        <w:lang w:eastAsia="ca-ES"/>
      </w:rPr>
      <w:drawing>
        <wp:inline distT="0" distB="0" distL="0" distR="0" wp14:anchorId="33E47BE3" wp14:editId="5F7189F8">
          <wp:extent cx="2495306" cy="765788"/>
          <wp:effectExtent l="0" t="0" r="635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1"/>
                  <a:stretch/>
                </pic:blipFill>
                <pic:spPr bwMode="auto">
                  <a:xfrm>
                    <a:off x="0" y="0"/>
                    <a:ext cx="2518180" cy="772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BA54"/>
    <w:multiLevelType w:val="hybridMultilevel"/>
    <w:tmpl w:val="3A6EDCA0"/>
    <w:lvl w:ilvl="0" w:tplc="7632E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22F2B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C9C54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50B6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466A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4AD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F4C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AE48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008E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B8707D"/>
    <w:multiLevelType w:val="hybridMultilevel"/>
    <w:tmpl w:val="596CDD68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2689DD00"/>
    <w:multiLevelType w:val="hybridMultilevel"/>
    <w:tmpl w:val="9D962756"/>
    <w:lvl w:ilvl="0" w:tplc="791A534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7D48F2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18ED55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F209F3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AE672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D08E63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27046B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51291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F36D65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hint="default" w:ascii="Symbol" w:hAnsi="Symbol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AD7159"/>
    <w:multiLevelType w:val="hybridMultilevel"/>
    <w:tmpl w:val="825EC18E"/>
    <w:lvl w:ilvl="0" w:tplc="0403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9" w15:restartNumberingAfterBreak="0">
    <w:nsid w:val="3FA41B5A"/>
    <w:multiLevelType w:val="hybridMultilevel"/>
    <w:tmpl w:val="AD788148"/>
    <w:lvl w:ilvl="0" w:tplc="05B8D8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A840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CA8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406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83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F8F3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FA6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CA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76F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hint="default" w:ascii="Courier New" w:hAnsi="Courier New" w:cs="Courier New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2" w15:restartNumberingAfterBreak="0">
    <w:nsid w:val="4EA139C7"/>
    <w:multiLevelType w:val="hybridMultilevel"/>
    <w:tmpl w:val="A37A324A"/>
    <w:lvl w:ilvl="0" w:tplc="040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02C0116"/>
    <w:multiLevelType w:val="hybridMultilevel"/>
    <w:tmpl w:val="B0A4F45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CF6F46"/>
    <w:multiLevelType w:val="hybridMultilevel"/>
    <w:tmpl w:val="09D47938"/>
    <w:lvl w:ilvl="0" w:tplc="EA6CE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C00C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FAF7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720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EF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2279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4F0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EC3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E22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2A9D66"/>
    <w:multiLevelType w:val="hybridMultilevel"/>
    <w:tmpl w:val="A394CF0C"/>
    <w:lvl w:ilvl="0" w:tplc="7B6E9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2E23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EA36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5AA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462B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41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F28A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4F9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E6E7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6502E2"/>
    <w:multiLevelType w:val="hybridMultilevel"/>
    <w:tmpl w:val="8562A61C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FEB48C8"/>
    <w:multiLevelType w:val="hybridMultilevel"/>
    <w:tmpl w:val="D36089A0"/>
    <w:lvl w:ilvl="0" w:tplc="0403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9" w15:restartNumberingAfterBreak="0">
    <w:nsid w:val="737C1F71"/>
    <w:multiLevelType w:val="hybridMultilevel"/>
    <w:tmpl w:val="DDD61EE4"/>
    <w:lvl w:ilvl="0" w:tplc="0403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0" w15:restartNumberingAfterBreak="0">
    <w:nsid w:val="77943601"/>
    <w:multiLevelType w:val="hybridMultilevel"/>
    <w:tmpl w:val="312A5F0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6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2"/>
  </w:num>
  <w:num w:numId="17">
    <w:abstractNumId w:val="18"/>
  </w:num>
  <w:num w:numId="18">
    <w:abstractNumId w:val="19"/>
  </w:num>
  <w:num w:numId="19">
    <w:abstractNumId w:val="15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7"/>
    <w:rsid w:val="00085B6B"/>
    <w:rsid w:val="00183632"/>
    <w:rsid w:val="0019428B"/>
    <w:rsid w:val="00242B45"/>
    <w:rsid w:val="002A3238"/>
    <w:rsid w:val="002E32A7"/>
    <w:rsid w:val="002E40D6"/>
    <w:rsid w:val="00386460"/>
    <w:rsid w:val="003C2FD8"/>
    <w:rsid w:val="004C0587"/>
    <w:rsid w:val="004F0509"/>
    <w:rsid w:val="0057075B"/>
    <w:rsid w:val="0057753C"/>
    <w:rsid w:val="005E5E27"/>
    <w:rsid w:val="006800B7"/>
    <w:rsid w:val="006814EE"/>
    <w:rsid w:val="006834EC"/>
    <w:rsid w:val="0068656E"/>
    <w:rsid w:val="006B0EC4"/>
    <w:rsid w:val="006B6FE9"/>
    <w:rsid w:val="006B75FA"/>
    <w:rsid w:val="006E7EC0"/>
    <w:rsid w:val="00714A61"/>
    <w:rsid w:val="0080674C"/>
    <w:rsid w:val="008266EC"/>
    <w:rsid w:val="00864803"/>
    <w:rsid w:val="008A22B5"/>
    <w:rsid w:val="00932D56"/>
    <w:rsid w:val="00942967"/>
    <w:rsid w:val="0098370A"/>
    <w:rsid w:val="009A3052"/>
    <w:rsid w:val="00A3503B"/>
    <w:rsid w:val="00AC0863"/>
    <w:rsid w:val="00AC2F72"/>
    <w:rsid w:val="00AF3382"/>
    <w:rsid w:val="00B26546"/>
    <w:rsid w:val="00B634C1"/>
    <w:rsid w:val="00B71D13"/>
    <w:rsid w:val="00B73972"/>
    <w:rsid w:val="00BA23C3"/>
    <w:rsid w:val="00BE0583"/>
    <w:rsid w:val="00CC0362"/>
    <w:rsid w:val="00CC5EA7"/>
    <w:rsid w:val="00CD6E33"/>
    <w:rsid w:val="00CF65BB"/>
    <w:rsid w:val="00D43525"/>
    <w:rsid w:val="00DCC605"/>
    <w:rsid w:val="00DF5061"/>
    <w:rsid w:val="00E245C7"/>
    <w:rsid w:val="00E26626"/>
    <w:rsid w:val="00E447ED"/>
    <w:rsid w:val="00EB33F5"/>
    <w:rsid w:val="00F22B55"/>
    <w:rsid w:val="00F55BE1"/>
    <w:rsid w:val="00F71E95"/>
    <w:rsid w:val="00FC19D2"/>
    <w:rsid w:val="00FE39AA"/>
    <w:rsid w:val="08305DE6"/>
    <w:rsid w:val="0F8A9F85"/>
    <w:rsid w:val="1FFFE12A"/>
    <w:rsid w:val="3D82EFD8"/>
    <w:rsid w:val="434DD079"/>
    <w:rsid w:val="435BB151"/>
    <w:rsid w:val="505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A6882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6460"/>
    <w:pPr>
      <w:shd w:val="clear" w:color="auto" w:fill="FFFFFF"/>
      <w:spacing w:after="200" w:line="264" w:lineRule="auto"/>
    </w:pPr>
    <w:rPr>
      <w:rFonts w:ascii="Arial" w:hAnsi="Arial" w:eastAsia="Times New Roman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color="ED7D31" w:sz="8" w:space="10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  <w:lang w:val="en-US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  <w:lang w:val="en-US"/>
    </w:rPr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A3503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styleId="PeuCar" w:customStyle="1">
    <w:name w:val="Peu Car"/>
    <w:basedOn w:val="Tipusdelletraperdefectedelpargraf"/>
    <w:link w:val="Peu"/>
    <w:uiPriority w:val="99"/>
    <w:rsid w:val="00A3503B"/>
    <w:rPr>
      <w:lang w:val="ca-ES"/>
    </w:rPr>
  </w:style>
  <w:style w:type="character" w:styleId="Nmerodepgina">
    <w:name w:val="page number"/>
    <w:basedOn w:val="Tipusdelletraperdefectedelpargraf"/>
    <w:uiPriority w:val="99"/>
    <w:semiHidden/>
    <w:unhideWhenUsed/>
    <w:rsid w:val="00FE39AA"/>
  </w:style>
  <w:style w:type="paragraph" w:styleId="m1538649255665353656msolistparagraph" w:customStyle="1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styleId="Ttol1Car" w:customStyle="1">
    <w:name w:val="Títol 1 Car"/>
    <w:basedOn w:val="Tipusdelletraperdefectedelpargraf"/>
    <w:link w:val="Ttol1"/>
    <w:uiPriority w:val="9"/>
    <w:rsid w:val="00B634C1"/>
    <w:rPr>
      <w:rFonts w:ascii="Arial" w:hAnsi="Arial" w:eastAsia="Times New Roman" w:cs="Arial"/>
      <w:b/>
      <w:color w:val="000000" w:themeColor="text1"/>
      <w:sz w:val="44"/>
      <w:szCs w:val="32"/>
      <w:shd w:val="clear" w:color="auto" w:fill="FFFFFF"/>
      <w:lang w:val="es-ES"/>
    </w:rPr>
  </w:style>
  <w:style w:type="character" w:styleId="Ttol2Car" w:customStyle="1">
    <w:name w:val="Títol 2 Car"/>
    <w:basedOn w:val="Tipusdelletraperdefectedelpargraf"/>
    <w:link w:val="Ttol2"/>
    <w:uiPriority w:val="9"/>
    <w:rsid w:val="005E5E27"/>
    <w:rPr>
      <w:rFonts w:ascii="Arial" w:hAnsi="Arial" w:eastAsia="Times New Roman" w:cs="Arial"/>
      <w:b/>
      <w:color w:val="ED7D31" w:themeColor="accent2"/>
      <w:sz w:val="36"/>
      <w:szCs w:val="36"/>
      <w:shd w:val="clear" w:color="auto" w:fill="FFFFFF"/>
      <w:lang w:val="ca-ES"/>
    </w:rPr>
  </w:style>
  <w:style w:type="character" w:styleId="Ttol3Car" w:customStyle="1">
    <w:name w:val="Títol 3 Car"/>
    <w:basedOn w:val="Tipusdelletraperdefectedelpargraf"/>
    <w:link w:val="Ttol3"/>
    <w:uiPriority w:val="9"/>
    <w:rsid w:val="00B634C1"/>
    <w:rPr>
      <w:rFonts w:ascii="Arial" w:hAnsi="Arial" w:eastAsia="Times New Roman" w:cs="Arial"/>
      <w:color w:val="595959" w:themeColor="text1" w:themeTint="A6"/>
      <w:sz w:val="36"/>
      <w:szCs w:val="22"/>
      <w:shd w:val="clear" w:color="auto" w:fill="FFFFFF"/>
      <w:lang w:val="en-US"/>
    </w:rPr>
  </w:style>
  <w:style w:type="character" w:styleId="Ttol4Car" w:customStyle="1">
    <w:name w:val="Títol 4 Car"/>
    <w:basedOn w:val="Tipusdelletraperdefectedelpargraf"/>
    <w:link w:val="Ttol4"/>
    <w:uiPriority w:val="9"/>
    <w:rsid w:val="00386460"/>
    <w:rPr>
      <w:rFonts w:ascii="Arial" w:hAnsi="Arial" w:eastAsia="Times New Roman" w:cs="Arial"/>
      <w:b/>
      <w:color w:val="000000" w:themeColor="text1"/>
      <w:sz w:val="22"/>
      <w:szCs w:val="22"/>
      <w:shd w:val="clear" w:color="auto" w:fill="FFFFFF"/>
      <w:lang w:val="en-US"/>
    </w:rPr>
  </w:style>
  <w:style w:type="paragraph" w:styleId="Destacat" w:customStyle="1">
    <w:name w:val="Destacat"/>
    <w:basedOn w:val="Normal"/>
    <w:qFormat/>
    <w:rsid w:val="00B634C1"/>
    <w:pPr>
      <w:pBdr>
        <w:top w:val="single" w:color="ED7D31" w:sz="4" w:space="5"/>
        <w:left w:val="single" w:color="ED7D31" w:sz="4" w:space="4"/>
        <w:bottom w:val="single" w:color="ED7D31" w:sz="4" w:space="5"/>
        <w:right w:val="single" w:color="ED7D31" w:sz="4" w:space="4"/>
      </w:pBdr>
      <w:shd w:val="pct5" w:color="auto" w:fill="FFFFFF"/>
      <w:spacing w:before="360" w:after="360"/>
    </w:pPr>
    <w:rPr>
      <w:b/>
    </w:rPr>
  </w:style>
  <w:style w:type="paragraph" w:styleId="Llistapunts2" w:customStyle="1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styleId="Listapunts2Darreralnia" w:customStyle="1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styleId="Llistapunts1" w:customStyle="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styleId="Llistapunts1Darreralnia" w:customStyle="1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Tipusdelletraperdefectedelpargraf"/>
    <w:uiPriority w:val="99"/>
    <w:unhideWhenUsed/>
    <w:rsid w:val="00386460"/>
    <w:rPr>
      <w:color w:val="0563C1" w:themeColor="hyperlink"/>
      <w:u w:val="single"/>
    </w:rPr>
  </w:style>
  <w:style w:type="paragraph" w:styleId="Enllacparticipa" w:customStyle="1">
    <w:name w:val="Enllac_participa"/>
    <w:qFormat/>
    <w:rsid w:val="00386460"/>
    <w:pPr>
      <w:ind w:hanging="567"/>
    </w:pPr>
    <w:rPr>
      <w:rFonts w:ascii="Arial" w:hAnsi="Arial" w:eastAsia="Times New Roman" w:cs="Arial"/>
      <w:b/>
      <w:color w:val="ED7D31"/>
      <w:sz w:val="22"/>
      <w:szCs w:val="22"/>
      <w:lang w:val="es-ES"/>
    </w:rPr>
  </w:style>
  <w:style w:type="paragraph" w:styleId="Textavs" w:customStyle="1">
    <w:name w:val="Text avís"/>
    <w:basedOn w:val="Normal"/>
    <w:qFormat/>
    <w:rsid w:val="00932D56"/>
    <w:pPr>
      <w:pBdr>
        <w:top w:val="single" w:color="ED7D31" w:sz="8" w:space="11"/>
        <w:left w:val="single" w:color="ED7D31" w:sz="8" w:space="11"/>
        <w:bottom w:val="single" w:color="ED7D31" w:sz="8" w:space="11"/>
        <w:right w:val="single" w:color="ED7D31" w:sz="8" w:space="1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  <w:lang w:val="en-GB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governobert.gencat.cat/ca/participacio-ciutadana/difusio-i-recerca/Avaluacio-de-la-participacio-ciutadana-a-la-Generalitat-de-Catalunya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governobert.gencat.cat/ca/participacio-ciutadana/difusio-i-recerca/guies-breus-de-participacio-ciutadana/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yperlink" Target="https://pisunyer.org/public/files/panel/informepart2020_cat.pptx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https://www.boe.es/boe_catalan/dias/2018/09/19/pdfs/BOE-A-2018-12699-C.pdf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articipa.gencat.cat/processes/novalleiparticipacio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portaljuridic.gencat.cat/ca/document-del-pjur/?documentId=673958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governobert.gencat.cat/ca/participacio-ciutadana/difusio-i-recerca/guies-breus-de-participacio-ciutadana/" TargetMode="External" Id="rId22" /><Relationship Type="http://schemas.openxmlformats.org/officeDocument/2006/relationships/glossaryDocument" Target="glossary/document.xml" Id="R59ea85719ff94bd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71d7-09c1-4e42-9cd3-220cf19baff1}"/>
      </w:docPartPr>
      <w:docPartBody>
        <w:p w14:paraId="584D33C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C6ACA-D4C4-477F-B67C-979DB129A3F7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598f3d-5199-46e9-abe8-f10701228389"/>
    <ds:schemaRef ds:uri="69c11177-adea-4a8c-9af1-53677545143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0E7317-FC0D-459B-B95C-A6B515F126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PlantillaExteriors.dotx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Muñoz Casanova, Raquel</dc:creator>
  <keywords/>
  <dc:description/>
  <lastModifiedBy>Conte Santiago, Andrea</lastModifiedBy>
  <revision>5</revision>
  <dcterms:created xsi:type="dcterms:W3CDTF">2022-10-06T09:55:00.0000000Z</dcterms:created>
  <dcterms:modified xsi:type="dcterms:W3CDTF">2022-10-06T13:38:33.4168660Z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