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30" w:rsidRPr="008A0BA5" w:rsidRDefault="00013930" w:rsidP="00467A36">
      <w:pPr>
        <w:jc w:val="both"/>
        <w:rPr>
          <w:rFonts w:cs="Arial"/>
          <w:b/>
          <w:sz w:val="22"/>
          <w:szCs w:val="22"/>
        </w:rPr>
      </w:pPr>
      <w:bookmarkStart w:id="0" w:name="_GoBack"/>
      <w:bookmarkEnd w:id="0"/>
      <w:r w:rsidRPr="008A0BA5">
        <w:rPr>
          <w:rFonts w:cs="Arial"/>
          <w:b/>
          <w:sz w:val="22"/>
          <w:szCs w:val="22"/>
        </w:rPr>
        <w:t xml:space="preserve">Comunicació </w:t>
      </w:r>
    </w:p>
    <w:p w:rsidR="00013930" w:rsidRPr="008A0BA5" w:rsidRDefault="00013930" w:rsidP="00467A36">
      <w:pPr>
        <w:jc w:val="both"/>
        <w:rPr>
          <w:rFonts w:cs="Arial"/>
          <w:b/>
          <w:sz w:val="22"/>
          <w:szCs w:val="22"/>
        </w:rPr>
      </w:pPr>
    </w:p>
    <w:p w:rsidR="00013930" w:rsidRPr="008A0BA5" w:rsidRDefault="00013930" w:rsidP="00467A36">
      <w:pPr>
        <w:jc w:val="both"/>
        <w:rPr>
          <w:rFonts w:eastAsia="Times" w:cs="Arial"/>
          <w:b/>
          <w:sz w:val="22"/>
          <w:szCs w:val="22"/>
        </w:rPr>
      </w:pPr>
      <w:r w:rsidRPr="008A0BA5">
        <w:rPr>
          <w:rFonts w:cs="Arial"/>
          <w:b/>
          <w:sz w:val="22"/>
          <w:szCs w:val="22"/>
        </w:rPr>
        <w:t xml:space="preserve">al Govern sobre la </w:t>
      </w:r>
      <w:r w:rsidRPr="008A0BA5">
        <w:rPr>
          <w:rFonts w:eastAsia="Times" w:cs="Arial"/>
          <w:b/>
          <w:sz w:val="22"/>
          <w:szCs w:val="22"/>
        </w:rPr>
        <w:t xml:space="preserve">consulta pública prèvia relativa al Projecte de </w:t>
      </w:r>
      <w:r w:rsidR="00287135" w:rsidRPr="008A0BA5">
        <w:rPr>
          <w:rFonts w:eastAsia="Times" w:cs="Arial"/>
          <w:b/>
          <w:sz w:val="22"/>
          <w:szCs w:val="22"/>
        </w:rPr>
        <w:t xml:space="preserve">decret </w:t>
      </w:r>
      <w:r w:rsidR="00D4406F" w:rsidRPr="008A0BA5">
        <w:rPr>
          <w:rFonts w:eastAsia="Times" w:cs="Arial"/>
          <w:b/>
          <w:sz w:val="22"/>
          <w:szCs w:val="22"/>
        </w:rPr>
        <w:t>de</w:t>
      </w:r>
      <w:r w:rsidR="00770595" w:rsidRPr="008A0BA5">
        <w:rPr>
          <w:rFonts w:eastAsia="Times" w:cs="Arial"/>
          <w:b/>
          <w:sz w:val="22"/>
          <w:szCs w:val="22"/>
        </w:rPr>
        <w:t xml:space="preserve"> regulació dels</w:t>
      </w:r>
      <w:r w:rsidR="00D4406F" w:rsidRPr="008A0BA5">
        <w:rPr>
          <w:rFonts w:eastAsia="Times" w:cs="Arial"/>
          <w:b/>
          <w:sz w:val="22"/>
          <w:szCs w:val="22"/>
        </w:rPr>
        <w:t xml:space="preserve"> vigilants municipals</w:t>
      </w:r>
    </w:p>
    <w:p w:rsidR="00013930" w:rsidRPr="008A0BA5" w:rsidRDefault="00013930" w:rsidP="00467A36">
      <w:pPr>
        <w:jc w:val="both"/>
        <w:rPr>
          <w:rFonts w:cs="Arial"/>
          <w:sz w:val="22"/>
          <w:szCs w:val="22"/>
        </w:rPr>
      </w:pPr>
    </w:p>
    <w:p w:rsidR="00013930" w:rsidRPr="008A0BA5" w:rsidRDefault="00013930" w:rsidP="00467A36">
      <w:pPr>
        <w:jc w:val="both"/>
        <w:rPr>
          <w:rFonts w:cs="Arial"/>
          <w:sz w:val="22"/>
          <w:szCs w:val="22"/>
        </w:rPr>
      </w:pPr>
      <w:r w:rsidRPr="008A0BA5">
        <w:rPr>
          <w:rFonts w:cs="Arial"/>
          <w:sz w:val="22"/>
          <w:szCs w:val="22"/>
        </w:rPr>
        <w:t>El Departament d’Interior ha de dur a terme una consulta pública prèvia a l’ela</w:t>
      </w:r>
      <w:r w:rsidR="00B44703" w:rsidRPr="008A0BA5">
        <w:rPr>
          <w:rFonts w:cs="Arial"/>
          <w:sz w:val="22"/>
          <w:szCs w:val="22"/>
        </w:rPr>
        <w:t xml:space="preserve">boració del Projecte de decret </w:t>
      </w:r>
      <w:r w:rsidR="00D4406F" w:rsidRPr="008A0BA5">
        <w:rPr>
          <w:rFonts w:cs="Arial"/>
          <w:sz w:val="22"/>
          <w:szCs w:val="22"/>
        </w:rPr>
        <w:t>de</w:t>
      </w:r>
      <w:r w:rsidR="007C612F" w:rsidRPr="008A0BA5">
        <w:rPr>
          <w:rFonts w:cs="Arial"/>
          <w:sz w:val="22"/>
          <w:szCs w:val="22"/>
        </w:rPr>
        <w:t xml:space="preserve"> regulació </w:t>
      </w:r>
      <w:r w:rsidR="00D4406F" w:rsidRPr="008A0BA5">
        <w:rPr>
          <w:rFonts w:cs="Arial"/>
          <w:sz w:val="22"/>
          <w:szCs w:val="22"/>
        </w:rPr>
        <w:t>de</w:t>
      </w:r>
      <w:r w:rsidR="003E18B8" w:rsidRPr="008A0BA5">
        <w:rPr>
          <w:rFonts w:cs="Arial"/>
          <w:sz w:val="22"/>
          <w:szCs w:val="22"/>
        </w:rPr>
        <w:t>ls</w:t>
      </w:r>
      <w:r w:rsidR="00D4406F" w:rsidRPr="008A0BA5">
        <w:rPr>
          <w:rFonts w:cs="Arial"/>
          <w:sz w:val="22"/>
          <w:szCs w:val="22"/>
        </w:rPr>
        <w:t xml:space="preserve"> vigilants municipals</w:t>
      </w:r>
      <w:r w:rsidRPr="008A0BA5">
        <w:rPr>
          <w:rFonts w:cs="Arial"/>
          <w:sz w:val="22"/>
          <w:szCs w:val="22"/>
        </w:rPr>
        <w:t xml:space="preserve">, de conformitat amb l’article 66 bis de la Llei 26/2010, del 3 d’agost, de règim jurídic i de procediment de les administracions públiques de Catalunya. </w:t>
      </w:r>
    </w:p>
    <w:p w:rsidR="0000752B" w:rsidRPr="008A0BA5" w:rsidRDefault="0000752B" w:rsidP="00467A36">
      <w:pPr>
        <w:jc w:val="both"/>
        <w:rPr>
          <w:rFonts w:cs="Arial"/>
          <w:sz w:val="22"/>
          <w:szCs w:val="22"/>
        </w:rPr>
      </w:pPr>
    </w:p>
    <w:p w:rsidR="00013930" w:rsidRPr="008A0BA5" w:rsidRDefault="00013930" w:rsidP="00467A36">
      <w:pPr>
        <w:jc w:val="both"/>
        <w:rPr>
          <w:rFonts w:cs="Arial"/>
          <w:sz w:val="22"/>
          <w:szCs w:val="22"/>
        </w:rPr>
      </w:pPr>
      <w:r w:rsidRPr="008A0BA5">
        <w:rPr>
          <w:rFonts w:cs="Arial"/>
          <w:sz w:val="22"/>
          <w:szCs w:val="22"/>
        </w:rPr>
        <w:t>Per tot això, a proposta del conseller d’Interior, el Govern</w:t>
      </w:r>
    </w:p>
    <w:p w:rsidR="00013930" w:rsidRPr="008A0BA5" w:rsidRDefault="00013930" w:rsidP="00467A36">
      <w:pPr>
        <w:jc w:val="both"/>
        <w:rPr>
          <w:rFonts w:cs="Arial"/>
          <w:sz w:val="22"/>
          <w:szCs w:val="22"/>
        </w:rPr>
      </w:pPr>
    </w:p>
    <w:p w:rsidR="00013930" w:rsidRPr="008A0BA5" w:rsidRDefault="00013930" w:rsidP="00467A36">
      <w:pPr>
        <w:jc w:val="both"/>
        <w:rPr>
          <w:rFonts w:cs="Arial"/>
          <w:sz w:val="22"/>
          <w:szCs w:val="22"/>
        </w:rPr>
      </w:pPr>
      <w:r w:rsidRPr="008A0BA5">
        <w:rPr>
          <w:rFonts w:cs="Arial"/>
          <w:sz w:val="22"/>
          <w:szCs w:val="22"/>
        </w:rPr>
        <w:t xml:space="preserve">Pren coneixement de la </w:t>
      </w:r>
      <w:r w:rsidRPr="008A0BA5">
        <w:rPr>
          <w:rFonts w:eastAsia="Times" w:cs="Arial"/>
          <w:sz w:val="22"/>
          <w:szCs w:val="22"/>
        </w:rPr>
        <w:t>consulta pública prèvia relativa al Projecte de decret</w:t>
      </w:r>
      <w:r w:rsidR="00770595" w:rsidRPr="008A0BA5">
        <w:rPr>
          <w:rFonts w:cs="Arial"/>
          <w:sz w:val="22"/>
          <w:szCs w:val="22"/>
        </w:rPr>
        <w:t xml:space="preserve"> de regulació dels vigilants municipals</w:t>
      </w:r>
      <w:r w:rsidRPr="008A0BA5">
        <w:rPr>
          <w:rFonts w:cs="Arial"/>
          <w:sz w:val="22"/>
          <w:szCs w:val="22"/>
        </w:rPr>
        <w:t>, amb el contingut que s’annexa.</w:t>
      </w: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E000FE" w:rsidRPr="008A0BA5" w:rsidRDefault="00E000FE" w:rsidP="00467A36">
      <w:pPr>
        <w:jc w:val="both"/>
        <w:rPr>
          <w:rFonts w:cs="Arial"/>
          <w:sz w:val="22"/>
          <w:szCs w:val="22"/>
        </w:rPr>
      </w:pPr>
    </w:p>
    <w:p w:rsidR="00F557AB" w:rsidRPr="008A0BA5" w:rsidRDefault="00F557AB" w:rsidP="00467A36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:rsidR="00F557AB" w:rsidRPr="008A0BA5" w:rsidRDefault="00F557AB" w:rsidP="00467A36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:rsidR="00F557AB" w:rsidRPr="008A0BA5" w:rsidRDefault="00F557AB" w:rsidP="00467A36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:rsidR="00F557AB" w:rsidRPr="008A0BA5" w:rsidRDefault="00F557AB" w:rsidP="00467A36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:rsidR="00F557AB" w:rsidRPr="008A0BA5" w:rsidRDefault="00F557AB" w:rsidP="00467A36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:rsidR="00F557AB" w:rsidRPr="008A0BA5" w:rsidRDefault="00F557AB" w:rsidP="00467A36">
      <w:pPr>
        <w:pBdr>
          <w:bottom w:val="single" w:sz="12" w:space="1" w:color="auto"/>
        </w:pBdr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:rsidR="00F557AB" w:rsidRPr="008A0BA5" w:rsidRDefault="00F557AB" w:rsidP="00467A36">
      <w:pPr>
        <w:pBdr>
          <w:bottom w:val="single" w:sz="12" w:space="1" w:color="auto"/>
        </w:pBdr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:rsidR="00F557AB" w:rsidRPr="008A0BA5" w:rsidRDefault="00F557AB" w:rsidP="00467A36">
      <w:pPr>
        <w:pBdr>
          <w:bottom w:val="single" w:sz="12" w:space="1" w:color="auto"/>
        </w:pBdr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:rsidR="00E000FE" w:rsidRPr="008A0BA5" w:rsidRDefault="00E000FE" w:rsidP="00467A36">
      <w:pPr>
        <w:pBdr>
          <w:bottom w:val="single" w:sz="12" w:space="1" w:color="auto"/>
        </w:pBdr>
        <w:jc w:val="both"/>
        <w:rPr>
          <w:rFonts w:eastAsia="Calibri" w:cs="Arial"/>
          <w:b/>
          <w:bCs/>
          <w:sz w:val="22"/>
          <w:szCs w:val="22"/>
          <w:lang w:eastAsia="en-US"/>
        </w:rPr>
      </w:pPr>
      <w:r w:rsidRPr="008A0BA5">
        <w:rPr>
          <w:rFonts w:eastAsia="Calibri" w:cs="Arial"/>
          <w:b/>
          <w:bCs/>
          <w:sz w:val="22"/>
          <w:szCs w:val="22"/>
          <w:lang w:eastAsia="en-US"/>
        </w:rPr>
        <w:t>Annex</w:t>
      </w:r>
    </w:p>
    <w:p w:rsidR="00E000FE" w:rsidRPr="008A0BA5" w:rsidRDefault="00E000FE" w:rsidP="00467A36">
      <w:pPr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940"/>
        <w:gridCol w:w="31"/>
      </w:tblGrid>
      <w:tr w:rsidR="008A0BA5" w:rsidRPr="008A0BA5" w:rsidTr="006F6FBB">
        <w:trPr>
          <w:trHeight w:val="701"/>
        </w:trPr>
        <w:tc>
          <w:tcPr>
            <w:tcW w:w="406" w:type="pct"/>
            <w:tcBorders>
              <w:bottom w:val="single" w:sz="4" w:space="0" w:color="auto"/>
            </w:tcBorders>
            <w:shd w:val="clear" w:color="auto" w:fill="F2F2F2"/>
          </w:tcPr>
          <w:p w:rsidR="00E000FE" w:rsidRPr="008A0BA5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E000FE" w:rsidRPr="008A0BA5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E000FE" w:rsidRPr="008A0BA5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</w:tc>
        <w:tc>
          <w:tcPr>
            <w:tcW w:w="4594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E000FE" w:rsidRPr="008A0BA5" w:rsidRDefault="00A665AD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8A0BA5">
              <w:rPr>
                <w:rFonts w:eastAsia="Times" w:cs="Arial"/>
                <w:b/>
                <w:sz w:val="22"/>
                <w:szCs w:val="22"/>
              </w:rPr>
              <w:t xml:space="preserve">Consulta pública prèvia </w:t>
            </w:r>
            <w:r w:rsidR="0049781C" w:rsidRPr="008A0BA5">
              <w:rPr>
                <w:rFonts w:eastAsia="Times" w:cs="Arial"/>
                <w:b/>
                <w:sz w:val="22"/>
                <w:szCs w:val="22"/>
              </w:rPr>
              <w:t>a l’elaboració del</w:t>
            </w:r>
            <w:r w:rsidR="00E000FE" w:rsidRPr="008A0BA5">
              <w:rPr>
                <w:rFonts w:eastAsia="Times" w:cs="Arial"/>
                <w:b/>
                <w:sz w:val="22"/>
                <w:szCs w:val="22"/>
              </w:rPr>
              <w:t xml:space="preserve"> Projecte de decret de </w:t>
            </w:r>
            <w:r w:rsidR="00E96887" w:rsidRPr="008A0BA5">
              <w:rPr>
                <w:rFonts w:eastAsia="Times" w:cs="Arial"/>
                <w:b/>
                <w:sz w:val="22"/>
                <w:szCs w:val="22"/>
              </w:rPr>
              <w:t>regulació dels vigilants</w:t>
            </w:r>
            <w:r w:rsidR="007C612F" w:rsidRPr="008A0BA5">
              <w:rPr>
                <w:rFonts w:eastAsia="Times" w:cs="Arial"/>
                <w:b/>
                <w:sz w:val="22"/>
                <w:szCs w:val="22"/>
              </w:rPr>
              <w:t xml:space="preserve"> municipals</w:t>
            </w:r>
          </w:p>
          <w:p w:rsidR="00E000FE" w:rsidRPr="008A0BA5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</w:tc>
      </w:tr>
      <w:tr w:rsidR="008A0BA5" w:rsidRPr="008A0BA5" w:rsidTr="006F6FBB">
        <w:tc>
          <w:tcPr>
            <w:tcW w:w="406" w:type="pct"/>
            <w:shd w:val="clear" w:color="auto" w:fill="DEEAF6"/>
          </w:tcPr>
          <w:p w:rsidR="00E000FE" w:rsidRPr="008A0BA5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E000FE" w:rsidRPr="008A0BA5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8A0BA5">
              <w:rPr>
                <w:rFonts w:eastAsia="Times" w:cs="Arial"/>
                <w:b/>
                <w:sz w:val="22"/>
                <w:szCs w:val="22"/>
              </w:rPr>
              <w:t>1</w:t>
            </w:r>
          </w:p>
        </w:tc>
        <w:tc>
          <w:tcPr>
            <w:tcW w:w="4594" w:type="pct"/>
            <w:gridSpan w:val="2"/>
            <w:shd w:val="clear" w:color="auto" w:fill="DEEAF6"/>
          </w:tcPr>
          <w:p w:rsidR="00E000FE" w:rsidRPr="008A0BA5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E000FE" w:rsidRPr="008A0BA5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8A0BA5">
              <w:rPr>
                <w:rFonts w:cs="Arial"/>
                <w:b/>
                <w:sz w:val="22"/>
                <w:szCs w:val="22"/>
              </w:rPr>
              <w:t>Els problemes que es pretén solucionar</w:t>
            </w:r>
          </w:p>
        </w:tc>
      </w:tr>
      <w:tr w:rsidR="008A0BA5" w:rsidRPr="008A0BA5" w:rsidTr="006F6FBB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:rsidR="00E000FE" w:rsidRPr="00E2328F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B56403" w:rsidRPr="00E2328F" w:rsidRDefault="003E18B8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L</w:t>
            </w:r>
            <w:r w:rsidR="00B56403" w:rsidRPr="00E2328F">
              <w:rPr>
                <w:rFonts w:cs="Arial"/>
                <w:sz w:val="22"/>
                <w:szCs w:val="22"/>
              </w:rPr>
              <w:t xml:space="preserve">a Llei orgànica 2/1986, de 13 de març, de </w:t>
            </w:r>
            <w:r w:rsidRPr="00E2328F">
              <w:rPr>
                <w:rFonts w:cs="Arial"/>
                <w:sz w:val="22"/>
                <w:szCs w:val="22"/>
              </w:rPr>
              <w:t>f</w:t>
            </w:r>
            <w:r w:rsidR="00B56403" w:rsidRPr="00E2328F">
              <w:rPr>
                <w:rFonts w:cs="Arial"/>
                <w:sz w:val="22"/>
                <w:szCs w:val="22"/>
              </w:rPr>
              <w:t xml:space="preserve">orces i </w:t>
            </w:r>
            <w:r w:rsidRPr="00E2328F">
              <w:rPr>
                <w:rFonts w:cs="Arial"/>
                <w:sz w:val="22"/>
                <w:szCs w:val="22"/>
              </w:rPr>
              <w:t>c</w:t>
            </w:r>
            <w:r w:rsidR="00B56403" w:rsidRPr="00E2328F">
              <w:rPr>
                <w:rFonts w:cs="Arial"/>
                <w:sz w:val="22"/>
                <w:szCs w:val="22"/>
              </w:rPr>
              <w:t xml:space="preserve">ossos de </w:t>
            </w:r>
            <w:r w:rsidRPr="00E2328F">
              <w:rPr>
                <w:rFonts w:cs="Arial"/>
                <w:sz w:val="22"/>
                <w:szCs w:val="22"/>
              </w:rPr>
              <w:t>s</w:t>
            </w:r>
            <w:r w:rsidR="00B56403" w:rsidRPr="00E2328F">
              <w:rPr>
                <w:rFonts w:cs="Arial"/>
                <w:sz w:val="22"/>
                <w:szCs w:val="22"/>
              </w:rPr>
              <w:t xml:space="preserve">eguretat, </w:t>
            </w:r>
            <w:r w:rsidRPr="00E2328F">
              <w:rPr>
                <w:rFonts w:cs="Arial"/>
                <w:sz w:val="22"/>
                <w:szCs w:val="22"/>
              </w:rPr>
              <w:t xml:space="preserve">a l’article 51.2, </w:t>
            </w:r>
            <w:r w:rsidR="00B56403" w:rsidRPr="00E2328F">
              <w:rPr>
                <w:rFonts w:cs="Arial"/>
                <w:sz w:val="22"/>
                <w:szCs w:val="22"/>
              </w:rPr>
              <w:t xml:space="preserve">estableix </w:t>
            </w:r>
            <w:r w:rsidR="006610AD" w:rsidRPr="00E2328F">
              <w:rPr>
                <w:rFonts w:cs="Arial"/>
                <w:sz w:val="22"/>
                <w:szCs w:val="22"/>
              </w:rPr>
              <w:t>que</w:t>
            </w:r>
            <w:r w:rsidR="00770595" w:rsidRPr="00E2328F">
              <w:rPr>
                <w:rFonts w:cs="Arial"/>
                <w:sz w:val="22"/>
                <w:szCs w:val="22"/>
              </w:rPr>
              <w:t xml:space="preserve"> </w:t>
            </w:r>
            <w:r w:rsidR="00B56403" w:rsidRPr="00E2328F">
              <w:rPr>
                <w:rFonts w:cs="Arial"/>
                <w:sz w:val="22"/>
                <w:szCs w:val="22"/>
              </w:rPr>
              <w:t>en els municipis en els quals no existeixi policia local, les comeses d'aquesta seran exercides pel personal que exerceixi funcions de custòdia i vigilància de béns, serveis i instal·lacions, amb la denominació de guardes, vigilants, agents, a</w:t>
            </w:r>
            <w:r w:rsidR="00D36625" w:rsidRPr="00E2328F">
              <w:rPr>
                <w:rFonts w:cs="Arial"/>
                <w:sz w:val="22"/>
                <w:szCs w:val="22"/>
              </w:rPr>
              <w:t>l</w:t>
            </w:r>
            <w:r w:rsidR="00B56403" w:rsidRPr="00E2328F">
              <w:rPr>
                <w:rFonts w:cs="Arial"/>
                <w:sz w:val="22"/>
                <w:szCs w:val="22"/>
              </w:rPr>
              <w:t>gutzirs o anàlegs.</w:t>
            </w:r>
          </w:p>
          <w:p w:rsidR="00B56403" w:rsidRPr="00E2328F" w:rsidRDefault="00B56403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E000FE" w:rsidRPr="00E2328F" w:rsidRDefault="00D36625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 xml:space="preserve">Per la seva banda, l’article </w:t>
            </w:r>
            <w:r w:rsidR="00770595" w:rsidRPr="00E2328F">
              <w:rPr>
                <w:rFonts w:cs="Arial"/>
                <w:sz w:val="22"/>
                <w:szCs w:val="22"/>
              </w:rPr>
              <w:t xml:space="preserve">1 de la Llei 16/1991, de 10 de juliol, de policies locals, </w:t>
            </w:r>
            <w:r w:rsidRPr="00E2328F">
              <w:rPr>
                <w:rFonts w:cs="Arial"/>
                <w:sz w:val="22"/>
                <w:szCs w:val="22"/>
              </w:rPr>
              <w:t>també fa referència que els</w:t>
            </w:r>
            <w:r w:rsidR="00770595" w:rsidRPr="00E2328F">
              <w:rPr>
                <w:rFonts w:cs="Arial"/>
                <w:sz w:val="22"/>
                <w:szCs w:val="22"/>
              </w:rPr>
              <w:t xml:space="preserve"> municipis que no disposin de policia local es poden dotar de guàrdies, vigilants, agents, algutzirs o similars, que tindran la denominació genèrica de “vigilants”.</w:t>
            </w:r>
            <w:r w:rsidR="00FD100C" w:rsidRPr="00E2328F">
              <w:rPr>
                <w:rFonts w:cs="Arial"/>
                <w:sz w:val="22"/>
                <w:szCs w:val="22"/>
              </w:rPr>
              <w:t xml:space="preserve"> Els vigilants, si bé estan reconeguts per la Llei </w:t>
            </w:r>
            <w:r w:rsidRPr="00E2328F">
              <w:rPr>
                <w:rFonts w:cs="Arial"/>
                <w:sz w:val="22"/>
                <w:szCs w:val="22"/>
              </w:rPr>
              <w:t>orgànica 2/1986 i per la Llei</w:t>
            </w:r>
            <w:r w:rsidR="00DC4D00" w:rsidRPr="00E2328F">
              <w:rPr>
                <w:rFonts w:cs="Arial"/>
                <w:sz w:val="22"/>
                <w:szCs w:val="22"/>
              </w:rPr>
              <w:t xml:space="preserve"> 1</w:t>
            </w:r>
            <w:r w:rsidR="00FD100C" w:rsidRPr="00E2328F">
              <w:rPr>
                <w:rFonts w:cs="Arial"/>
                <w:sz w:val="22"/>
                <w:szCs w:val="22"/>
              </w:rPr>
              <w:t>6/1991</w:t>
            </w:r>
            <w:r w:rsidRPr="00E2328F">
              <w:rPr>
                <w:rFonts w:cs="Arial"/>
                <w:sz w:val="22"/>
                <w:szCs w:val="22"/>
              </w:rPr>
              <w:t xml:space="preserve">, </w:t>
            </w:r>
            <w:r w:rsidR="00DC4D00" w:rsidRPr="00E2328F">
              <w:rPr>
                <w:rFonts w:cs="Arial"/>
                <w:sz w:val="22"/>
                <w:szCs w:val="22"/>
              </w:rPr>
              <w:t xml:space="preserve">no es consideren </w:t>
            </w:r>
            <w:r w:rsidRPr="00E2328F">
              <w:rPr>
                <w:rFonts w:cs="Arial"/>
                <w:sz w:val="22"/>
                <w:szCs w:val="22"/>
              </w:rPr>
              <w:t xml:space="preserve">forces i cossos de seguretat </w:t>
            </w:r>
            <w:r w:rsidR="00DC4D00" w:rsidRPr="00E2328F">
              <w:rPr>
                <w:rFonts w:cs="Arial"/>
                <w:sz w:val="22"/>
                <w:szCs w:val="22"/>
              </w:rPr>
              <w:t>ni</w:t>
            </w:r>
            <w:r w:rsidR="003E18B8" w:rsidRPr="00E2328F">
              <w:rPr>
                <w:rFonts w:cs="Arial"/>
                <w:sz w:val="22"/>
                <w:szCs w:val="22"/>
              </w:rPr>
              <w:t>,</w:t>
            </w:r>
            <w:r w:rsidR="00DC4D00" w:rsidRPr="00E2328F">
              <w:rPr>
                <w:rFonts w:cs="Arial"/>
                <w:sz w:val="22"/>
                <w:szCs w:val="22"/>
              </w:rPr>
              <w:t xml:space="preserve"> </w:t>
            </w:r>
            <w:r w:rsidRPr="00E2328F">
              <w:rPr>
                <w:rFonts w:cs="Arial"/>
                <w:sz w:val="22"/>
                <w:szCs w:val="22"/>
              </w:rPr>
              <w:t>en concret</w:t>
            </w:r>
            <w:r w:rsidR="003E18B8" w:rsidRPr="00E2328F">
              <w:rPr>
                <w:rFonts w:cs="Arial"/>
                <w:sz w:val="22"/>
                <w:szCs w:val="22"/>
              </w:rPr>
              <w:t>,</w:t>
            </w:r>
            <w:r w:rsidRPr="00E2328F">
              <w:rPr>
                <w:rFonts w:cs="Arial"/>
                <w:sz w:val="22"/>
                <w:szCs w:val="22"/>
              </w:rPr>
              <w:t xml:space="preserve"> </w:t>
            </w:r>
            <w:r w:rsidR="00FD100C" w:rsidRPr="00E2328F">
              <w:rPr>
                <w:rFonts w:cs="Arial"/>
                <w:sz w:val="22"/>
                <w:szCs w:val="22"/>
              </w:rPr>
              <w:t>policies locals.</w:t>
            </w:r>
          </w:p>
          <w:p w:rsidR="00770595" w:rsidRPr="00E2328F" w:rsidRDefault="00770595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C4D00" w:rsidRPr="00E2328F" w:rsidRDefault="00D36625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 xml:space="preserve">Ara bé, tot i que hi ha aquest reconeixement i diferenciació, no </w:t>
            </w:r>
            <w:r w:rsidR="003E18B8" w:rsidRPr="00E2328F">
              <w:rPr>
                <w:rFonts w:cs="Arial"/>
                <w:sz w:val="22"/>
                <w:szCs w:val="22"/>
              </w:rPr>
              <w:t xml:space="preserve">hi ha </w:t>
            </w:r>
            <w:r w:rsidRPr="00E2328F">
              <w:rPr>
                <w:rFonts w:cs="Arial"/>
                <w:sz w:val="22"/>
                <w:szCs w:val="22"/>
              </w:rPr>
              <w:t>una regulació detallada pel que fa a</w:t>
            </w:r>
            <w:r w:rsidR="00DC4D00" w:rsidRPr="00E2328F">
              <w:rPr>
                <w:rFonts w:cs="Arial"/>
                <w:sz w:val="22"/>
                <w:szCs w:val="22"/>
              </w:rPr>
              <w:t xml:space="preserve">l règim d’accés, </w:t>
            </w:r>
            <w:r w:rsidRPr="00E2328F">
              <w:rPr>
                <w:rFonts w:cs="Arial"/>
                <w:sz w:val="22"/>
                <w:szCs w:val="22"/>
              </w:rPr>
              <w:t>organització,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 mitjans d’auto</w:t>
            </w:r>
            <w:r w:rsidR="003E18B8" w:rsidRPr="00E2328F">
              <w:rPr>
                <w:rFonts w:cs="Arial"/>
                <w:sz w:val="22"/>
                <w:szCs w:val="22"/>
              </w:rPr>
              <w:t>protecció</w:t>
            </w:r>
            <w:r w:rsidR="00994186" w:rsidRPr="00E2328F">
              <w:rPr>
                <w:rFonts w:cs="Arial"/>
                <w:sz w:val="22"/>
                <w:szCs w:val="22"/>
              </w:rPr>
              <w:t>,</w:t>
            </w:r>
            <w:r w:rsidRPr="00E2328F">
              <w:rPr>
                <w:rFonts w:cs="Arial"/>
                <w:sz w:val="22"/>
                <w:szCs w:val="22"/>
              </w:rPr>
              <w:t xml:space="preserve"> funcions o uniformitat que permeti dotar d’una mínima seguretat jurídica aquest col·lectiu pel que fa a les seves comeses. De fet, en la Llei orgànica 2/1986 no hi ha cap altr</w:t>
            </w:r>
            <w:r w:rsidR="003E18B8" w:rsidRPr="00E2328F">
              <w:rPr>
                <w:rFonts w:cs="Arial"/>
                <w:sz w:val="22"/>
                <w:szCs w:val="22"/>
              </w:rPr>
              <w:t>a</w:t>
            </w:r>
            <w:r w:rsidRPr="00E2328F">
              <w:rPr>
                <w:rFonts w:cs="Arial"/>
                <w:sz w:val="22"/>
                <w:szCs w:val="22"/>
              </w:rPr>
              <w:t xml:space="preserve"> referència i en la llei 16/1991</w:t>
            </w:r>
            <w:r w:rsidR="00DC4D00" w:rsidRPr="00E2328F">
              <w:rPr>
                <w:rFonts w:cs="Arial"/>
                <w:sz w:val="22"/>
                <w:szCs w:val="22"/>
              </w:rPr>
              <w:t xml:space="preserve"> trobem una regulació escassa i alhora insuficient</w:t>
            </w:r>
            <w:r w:rsidR="00254371" w:rsidRPr="00E2328F">
              <w:rPr>
                <w:rFonts w:cs="Arial"/>
                <w:sz w:val="22"/>
                <w:szCs w:val="22"/>
              </w:rPr>
              <w:t>:</w:t>
            </w:r>
          </w:p>
          <w:p w:rsidR="00254371" w:rsidRPr="00E2328F" w:rsidRDefault="00254371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E000FE" w:rsidRPr="00E2328F" w:rsidRDefault="00DC4D00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-L’article 7.2 els atorga la condició d’agents de l’autoritat sempre que actuïn degudament identificats i en exercici de les seves funcions, i sempre que el municipi on actuïn no disposi de policia local.</w:t>
            </w:r>
          </w:p>
          <w:p w:rsidR="00DC4D00" w:rsidRPr="00E2328F" w:rsidRDefault="00DC4D00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-L’article 8.3 prohibeix la utilització d’armes de foc per part de vigilants municipals.</w:t>
            </w:r>
          </w:p>
          <w:p w:rsidR="00DC4D00" w:rsidRPr="00E2328F" w:rsidRDefault="00DC4D00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-L’article 13 en limita les funcions a desenvolupar a custodiar i vigilar béns, serveis, instal·lacions i dependències municipals</w:t>
            </w:r>
            <w:r w:rsidR="003E18B8" w:rsidRPr="00E2328F">
              <w:rPr>
                <w:rFonts w:cs="Arial"/>
                <w:sz w:val="22"/>
                <w:szCs w:val="22"/>
              </w:rPr>
              <w:t>;</w:t>
            </w:r>
            <w:r w:rsidRPr="00E2328F">
              <w:rPr>
                <w:rFonts w:cs="Arial"/>
                <w:sz w:val="22"/>
                <w:szCs w:val="22"/>
              </w:rPr>
              <w:t xml:space="preserve"> ordenar i regular el trànsit dins el nucli urbà</w:t>
            </w:r>
            <w:r w:rsidR="003E18B8" w:rsidRPr="00E2328F">
              <w:rPr>
                <w:rFonts w:cs="Arial"/>
                <w:sz w:val="22"/>
                <w:szCs w:val="22"/>
              </w:rPr>
              <w:t>;</w:t>
            </w:r>
            <w:r w:rsidRPr="00E2328F">
              <w:rPr>
                <w:rFonts w:cs="Arial"/>
                <w:sz w:val="22"/>
                <w:szCs w:val="22"/>
              </w:rPr>
              <w:t xml:space="preserve"> participar en tasques d’auxili al ciutadà i de protecció civil</w:t>
            </w:r>
            <w:r w:rsidR="003E18B8" w:rsidRPr="00E2328F">
              <w:rPr>
                <w:rFonts w:cs="Arial"/>
                <w:sz w:val="22"/>
                <w:szCs w:val="22"/>
              </w:rPr>
              <w:t>,</w:t>
            </w:r>
            <w:r w:rsidRPr="00E2328F">
              <w:rPr>
                <w:rFonts w:cs="Arial"/>
                <w:sz w:val="22"/>
                <w:szCs w:val="22"/>
              </w:rPr>
              <w:t xml:space="preserve"> i vetllar pel compliment de la normativa i actes municipals.</w:t>
            </w:r>
          </w:p>
          <w:p w:rsidR="00DC4D00" w:rsidRPr="00E2328F" w:rsidRDefault="00DC4D00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7407B1" w:rsidRDefault="0064401C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La Llei 16/1991 i el Decret 233/2002 només fan referència al règim d’accés, promoció i mobilitat de les policies locals</w:t>
            </w:r>
            <w:r w:rsidR="007407B1">
              <w:rPr>
                <w:rFonts w:cs="Arial"/>
                <w:sz w:val="22"/>
                <w:szCs w:val="22"/>
              </w:rPr>
              <w:t>,</w:t>
            </w:r>
            <w:r w:rsidRPr="00E2328F">
              <w:rPr>
                <w:rFonts w:cs="Arial"/>
                <w:sz w:val="22"/>
                <w:szCs w:val="22"/>
              </w:rPr>
              <w:t xml:space="preserve"> no especifiquen en cap cas quin ha de ser el règim normatiu en aquest sentit per als vigilants, dels quals s</w:t>
            </w:r>
            <w:r w:rsidR="007407B1">
              <w:rPr>
                <w:rFonts w:cs="Arial"/>
                <w:sz w:val="22"/>
                <w:szCs w:val="22"/>
              </w:rPr>
              <w:t>í</w:t>
            </w:r>
            <w:r w:rsidRPr="00E2328F">
              <w:rPr>
                <w:rFonts w:cs="Arial"/>
                <w:sz w:val="22"/>
                <w:szCs w:val="22"/>
              </w:rPr>
              <w:t xml:space="preserve"> que en regula els aspectes anteriorment citats. En conseqüència, tot i les peculiaritats d’aquest servei, la seva reg</w:t>
            </w:r>
            <w:r w:rsidR="007407B1">
              <w:rPr>
                <w:rFonts w:cs="Arial"/>
                <w:sz w:val="22"/>
                <w:szCs w:val="22"/>
              </w:rPr>
              <w:t>ulació actualment resta subjecta</w:t>
            </w:r>
            <w:r w:rsidRPr="00E2328F">
              <w:rPr>
                <w:rFonts w:cs="Arial"/>
                <w:sz w:val="22"/>
                <w:szCs w:val="22"/>
              </w:rPr>
              <w:t xml:space="preserve"> a la normativa general de funció pública (TREBEP i Decret legislatiu 1/1997 i al Decret 214/1990, de personal de les administracions locals), sense que en cap cas se’n faci una menció expressa. Això comporta</w:t>
            </w:r>
            <w:r w:rsidR="00CA222B">
              <w:rPr>
                <w:rFonts w:cs="Arial"/>
                <w:sz w:val="22"/>
                <w:szCs w:val="22"/>
              </w:rPr>
              <w:t>,</w:t>
            </w:r>
            <w:r w:rsidRPr="00E2328F">
              <w:rPr>
                <w:rFonts w:cs="Arial"/>
                <w:sz w:val="22"/>
                <w:szCs w:val="22"/>
              </w:rPr>
              <w:t xml:space="preserve"> entre d’altres, que </w:t>
            </w:r>
            <w:r w:rsidR="00CA222B">
              <w:rPr>
                <w:rFonts w:cs="Arial"/>
                <w:sz w:val="22"/>
                <w:szCs w:val="22"/>
              </w:rPr>
              <w:t xml:space="preserve">no </w:t>
            </w:r>
            <w:r w:rsidR="00A7541D">
              <w:rPr>
                <w:rFonts w:cs="Arial"/>
                <w:sz w:val="22"/>
                <w:szCs w:val="22"/>
              </w:rPr>
              <w:t>s’estableix</w:t>
            </w:r>
            <w:r w:rsidR="00CA222B">
              <w:rPr>
                <w:rFonts w:cs="Arial"/>
                <w:sz w:val="22"/>
                <w:szCs w:val="22"/>
              </w:rPr>
              <w:t>i</w:t>
            </w:r>
            <w:r w:rsidR="00A7541D">
              <w:rPr>
                <w:rFonts w:cs="Arial"/>
                <w:sz w:val="22"/>
                <w:szCs w:val="22"/>
              </w:rPr>
              <w:t>n</w:t>
            </w:r>
            <w:r w:rsidRPr="00E2328F">
              <w:rPr>
                <w:rFonts w:cs="Arial"/>
                <w:sz w:val="22"/>
                <w:szCs w:val="22"/>
              </w:rPr>
              <w:t xml:space="preserve"> unes proves mínimes a tenir en compte en el procés selectiu, </w:t>
            </w:r>
            <w:r w:rsidR="00926A85" w:rsidRPr="00E2328F">
              <w:rPr>
                <w:rFonts w:cs="Arial"/>
                <w:sz w:val="22"/>
                <w:szCs w:val="22"/>
              </w:rPr>
              <w:t>ni a quin grup i subgrup de funcionariat han de pertànyer els serveis de vigilant</w:t>
            </w:r>
            <w:r w:rsidR="007407B1">
              <w:rPr>
                <w:rFonts w:cs="Arial"/>
                <w:sz w:val="22"/>
                <w:szCs w:val="22"/>
              </w:rPr>
              <w:t>s</w:t>
            </w:r>
            <w:r w:rsidR="00CA222B">
              <w:rPr>
                <w:rFonts w:cs="Arial"/>
                <w:sz w:val="22"/>
                <w:szCs w:val="22"/>
              </w:rPr>
              <w:t xml:space="preserve">, i que </w:t>
            </w:r>
            <w:r w:rsidR="00CA222B" w:rsidRPr="00E2328F">
              <w:rPr>
                <w:rFonts w:cs="Arial"/>
                <w:sz w:val="22"/>
                <w:szCs w:val="22"/>
              </w:rPr>
              <w:t xml:space="preserve">no estigui regulada l’obligatorietat de realització d’un curs formatiu o d’un període de pràctiques, </w:t>
            </w:r>
            <w:r w:rsidR="00CA222B">
              <w:rPr>
                <w:rFonts w:cs="Arial"/>
                <w:sz w:val="22"/>
                <w:szCs w:val="22"/>
              </w:rPr>
              <w:t>de manera, que no es garanteix la formació dels vigilants municipals.</w:t>
            </w:r>
          </w:p>
          <w:p w:rsidR="007407B1" w:rsidRDefault="007407B1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A40AE8" w:rsidRDefault="007407B1" w:rsidP="00467A3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D’altra banda, e</w:t>
            </w:r>
            <w:r w:rsidR="00862531" w:rsidRPr="00E2328F">
              <w:rPr>
                <w:rFonts w:cs="Arial"/>
                <w:sz w:val="22"/>
                <w:szCs w:val="22"/>
              </w:rPr>
              <w:t>l fet que no estiguin regulats els mitjans d’autoprotecció</w:t>
            </w:r>
            <w:r w:rsidR="00A7541D">
              <w:rPr>
                <w:rFonts w:cs="Arial"/>
                <w:sz w:val="22"/>
                <w:szCs w:val="22"/>
              </w:rPr>
              <w:t xml:space="preserve">, més enllà de la prohibició de dotar-los d’armes de foc que trobem </w:t>
            </w:r>
            <w:r w:rsidR="00A7541D" w:rsidRPr="00E2328F">
              <w:rPr>
                <w:rFonts w:cs="Arial"/>
                <w:sz w:val="22"/>
                <w:szCs w:val="22"/>
              </w:rPr>
              <w:t>l’article 5 del Decret 219/1996, de 12 de juny, pel qual s’aprova el reglament d’armament de les policies locals</w:t>
            </w:r>
            <w:r w:rsidR="00A7541D">
              <w:rPr>
                <w:rFonts w:cs="Arial"/>
                <w:sz w:val="22"/>
                <w:szCs w:val="22"/>
              </w:rPr>
              <w:t>,</w:t>
            </w:r>
            <w:r w:rsidR="00862531" w:rsidRPr="00E2328F">
              <w:rPr>
                <w:rFonts w:cs="Arial"/>
                <w:sz w:val="22"/>
                <w:szCs w:val="22"/>
              </w:rPr>
              <w:t xml:space="preserve"> comporta una inseguretat jurídica per part dels </w:t>
            </w:r>
            <w:r w:rsidR="00A7541D">
              <w:rPr>
                <w:rFonts w:cs="Arial"/>
                <w:sz w:val="22"/>
                <w:szCs w:val="22"/>
              </w:rPr>
              <w:t>a</w:t>
            </w:r>
            <w:r w:rsidR="00862531" w:rsidRPr="00E2328F">
              <w:rPr>
                <w:rFonts w:cs="Arial"/>
                <w:sz w:val="22"/>
                <w:szCs w:val="22"/>
              </w:rPr>
              <w:t>juntaments 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62531" w:rsidRPr="00E2328F"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/>
                <w:sz w:val="22"/>
                <w:szCs w:val="22"/>
              </w:rPr>
              <w:t>’</w:t>
            </w:r>
            <w:r w:rsidR="00862531" w:rsidRPr="00E2328F">
              <w:rPr>
                <w:rFonts w:cs="Arial"/>
                <w:sz w:val="22"/>
                <w:szCs w:val="22"/>
              </w:rPr>
              <w:t>hora de dotar-los d’aquests mitjans</w:t>
            </w:r>
            <w:r w:rsidR="00A7541D">
              <w:rPr>
                <w:rFonts w:cs="Arial"/>
                <w:sz w:val="22"/>
                <w:szCs w:val="22"/>
              </w:rPr>
              <w:t xml:space="preserve">, que </w:t>
            </w:r>
            <w:r w:rsidR="00A40AE8">
              <w:rPr>
                <w:rFonts w:cs="Arial"/>
                <w:sz w:val="22"/>
                <w:szCs w:val="22"/>
              </w:rPr>
              <w:t xml:space="preserve">caldria superar per reforçar tant </w:t>
            </w:r>
            <w:r w:rsidR="00A7541D">
              <w:rPr>
                <w:rFonts w:cs="Arial"/>
                <w:sz w:val="22"/>
                <w:szCs w:val="22"/>
              </w:rPr>
              <w:t xml:space="preserve">la seguretat de la ciutadania </w:t>
            </w:r>
            <w:r w:rsidR="00A40AE8">
              <w:rPr>
                <w:rFonts w:cs="Arial"/>
                <w:sz w:val="22"/>
                <w:szCs w:val="22"/>
              </w:rPr>
              <w:t xml:space="preserve">com la </w:t>
            </w:r>
            <w:r w:rsidR="00A7541D">
              <w:rPr>
                <w:rFonts w:cs="Arial"/>
                <w:sz w:val="22"/>
                <w:szCs w:val="22"/>
              </w:rPr>
              <w:t xml:space="preserve">dels </w:t>
            </w:r>
            <w:r w:rsidR="00A7541D">
              <w:rPr>
                <w:rFonts w:cs="Arial"/>
                <w:sz w:val="22"/>
                <w:szCs w:val="22"/>
              </w:rPr>
              <w:lastRenderedPageBreak/>
              <w:t>mateixos vigilants municipals</w:t>
            </w:r>
            <w:r w:rsidR="00A40AE8">
              <w:rPr>
                <w:rFonts w:cs="Arial"/>
                <w:sz w:val="22"/>
                <w:szCs w:val="22"/>
              </w:rPr>
              <w:t xml:space="preserve"> en les seves actuacions</w:t>
            </w:r>
            <w:r w:rsidR="00A7541D">
              <w:rPr>
                <w:rFonts w:cs="Arial"/>
                <w:sz w:val="22"/>
                <w:szCs w:val="22"/>
              </w:rPr>
              <w:t>.</w:t>
            </w:r>
            <w:r w:rsidR="00A40AE8">
              <w:rPr>
                <w:rFonts w:cs="Arial"/>
                <w:sz w:val="22"/>
                <w:szCs w:val="22"/>
              </w:rPr>
              <w:t xml:space="preserve"> </w:t>
            </w:r>
            <w:r w:rsidR="00862531" w:rsidRPr="00E2328F">
              <w:rPr>
                <w:rFonts w:cs="Arial"/>
                <w:sz w:val="22"/>
                <w:szCs w:val="22"/>
              </w:rPr>
              <w:t>Cal concretar</w:t>
            </w:r>
            <w:r>
              <w:rPr>
                <w:rFonts w:cs="Arial"/>
                <w:sz w:val="22"/>
                <w:szCs w:val="22"/>
              </w:rPr>
              <w:t>,</w:t>
            </w:r>
            <w:r w:rsidR="00862531" w:rsidRPr="00E2328F">
              <w:rPr>
                <w:rFonts w:cs="Arial"/>
                <w:sz w:val="22"/>
                <w:szCs w:val="22"/>
              </w:rPr>
              <w:t xml:space="preserve"> doncs</w:t>
            </w:r>
            <w:r>
              <w:rPr>
                <w:rFonts w:cs="Arial"/>
                <w:sz w:val="22"/>
                <w:szCs w:val="22"/>
              </w:rPr>
              <w:t>,</w:t>
            </w:r>
            <w:r w:rsidR="00862531" w:rsidRPr="00E2328F">
              <w:rPr>
                <w:rFonts w:cs="Arial"/>
                <w:sz w:val="22"/>
                <w:szCs w:val="22"/>
              </w:rPr>
              <w:t xml:space="preserve"> quines eines i mitjans d’autoprotecció poden utilitzar: defenses, defenses extensibles, esprais de pebre, etc.</w:t>
            </w:r>
          </w:p>
          <w:p w:rsidR="00A40AE8" w:rsidRDefault="00A40AE8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62531" w:rsidRPr="00E2328F" w:rsidRDefault="00862531" w:rsidP="00B84EF7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 xml:space="preserve">Pel que fa a les funcions, si bé l’article 13 de la Llei 16/1991 estableix 4 </w:t>
            </w:r>
            <w:r w:rsidR="00C95863">
              <w:rPr>
                <w:rFonts w:cs="Arial"/>
                <w:sz w:val="22"/>
                <w:szCs w:val="22"/>
              </w:rPr>
              <w:t>actuacions</w:t>
            </w:r>
            <w:r w:rsidRPr="00E2328F">
              <w:rPr>
                <w:rFonts w:cs="Arial"/>
                <w:sz w:val="22"/>
                <w:szCs w:val="22"/>
              </w:rPr>
              <w:t xml:space="preserve"> </w:t>
            </w:r>
            <w:r w:rsidR="00511A58" w:rsidRPr="00E2328F">
              <w:rPr>
                <w:rFonts w:cs="Arial"/>
                <w:sz w:val="22"/>
                <w:szCs w:val="22"/>
              </w:rPr>
              <w:t xml:space="preserve">que poden </w:t>
            </w:r>
            <w:r w:rsidR="00C95863">
              <w:rPr>
                <w:rFonts w:cs="Arial"/>
                <w:sz w:val="22"/>
                <w:szCs w:val="22"/>
              </w:rPr>
              <w:t xml:space="preserve">acomplir els vigilants municipals, </w:t>
            </w:r>
            <w:r w:rsidR="007407B1">
              <w:rPr>
                <w:rFonts w:cs="Arial"/>
                <w:sz w:val="22"/>
                <w:szCs w:val="22"/>
              </w:rPr>
              <w:t>es tracta de</w:t>
            </w:r>
            <w:r w:rsidR="00511A58" w:rsidRPr="00E2328F">
              <w:rPr>
                <w:rFonts w:cs="Arial"/>
                <w:sz w:val="22"/>
                <w:szCs w:val="22"/>
              </w:rPr>
              <w:t xml:space="preserve"> funcions molt genèriques</w:t>
            </w:r>
            <w:r w:rsidR="00C95863">
              <w:rPr>
                <w:rFonts w:cs="Arial"/>
                <w:sz w:val="22"/>
                <w:szCs w:val="22"/>
              </w:rPr>
              <w:t xml:space="preserve">, que </w:t>
            </w:r>
            <w:r w:rsidR="00511A58" w:rsidRPr="00E2328F">
              <w:rPr>
                <w:rFonts w:cs="Arial"/>
                <w:sz w:val="22"/>
                <w:szCs w:val="22"/>
              </w:rPr>
              <w:t xml:space="preserve">caldria desenvolupar i concretar a fi i efecte de </w:t>
            </w:r>
            <w:r w:rsidR="00C95863">
              <w:rPr>
                <w:rFonts w:cs="Arial"/>
                <w:sz w:val="22"/>
                <w:szCs w:val="22"/>
              </w:rPr>
              <w:t xml:space="preserve">clarificar quines són les tasques que poden dur a terme, així com els límits de la seva actuació, i </w:t>
            </w:r>
            <w:r w:rsidR="00511A58" w:rsidRPr="00E2328F">
              <w:rPr>
                <w:rFonts w:cs="Arial"/>
                <w:sz w:val="22"/>
                <w:szCs w:val="22"/>
              </w:rPr>
              <w:t xml:space="preserve">dotar de la màxima seguretat jurídica els funcionaris. </w:t>
            </w:r>
          </w:p>
          <w:p w:rsidR="00511A58" w:rsidRPr="00E2328F" w:rsidRDefault="00511A58" w:rsidP="00B84EF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F76AA" w:rsidRDefault="00C95863" w:rsidP="00B84E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 altre aspecte que mostra que la regulació actual res</w:t>
            </w:r>
            <w:r w:rsidR="00BD3C41" w:rsidRPr="00E2328F">
              <w:rPr>
                <w:rFonts w:cs="Arial"/>
                <w:sz w:val="22"/>
                <w:szCs w:val="22"/>
              </w:rPr>
              <w:t>ulta</w:t>
            </w:r>
            <w:r w:rsidR="00A40AE8">
              <w:rPr>
                <w:rFonts w:cs="Arial"/>
                <w:sz w:val="22"/>
                <w:szCs w:val="22"/>
              </w:rPr>
              <w:t xml:space="preserve"> </w:t>
            </w:r>
            <w:r w:rsidR="00BD3C41" w:rsidRPr="00E2328F">
              <w:rPr>
                <w:rFonts w:cs="Arial"/>
                <w:sz w:val="22"/>
                <w:szCs w:val="22"/>
              </w:rPr>
              <w:t xml:space="preserve">insuficient per poder dotar de seguretat jurídica </w:t>
            </w:r>
            <w:r>
              <w:rPr>
                <w:rFonts w:cs="Arial"/>
                <w:sz w:val="22"/>
                <w:szCs w:val="22"/>
              </w:rPr>
              <w:t>els 455 membres de vigilants municipals que hi ha a Catalunya, en 114 ajuntaments</w:t>
            </w:r>
            <w:r w:rsidR="009F76AA">
              <w:rPr>
                <w:rFonts w:cs="Arial"/>
                <w:sz w:val="22"/>
                <w:szCs w:val="22"/>
              </w:rPr>
              <w:t>,</w:t>
            </w:r>
            <w:r w:rsidRPr="00E2328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és la diferent </w:t>
            </w:r>
            <w:r w:rsidR="007C612F" w:rsidRPr="00E2328F">
              <w:rPr>
                <w:rFonts w:cs="Arial"/>
                <w:sz w:val="22"/>
                <w:szCs w:val="22"/>
              </w:rPr>
              <w:t>vinculaci</w:t>
            </w:r>
            <w:r>
              <w:rPr>
                <w:rFonts w:cs="Arial"/>
                <w:sz w:val="22"/>
                <w:szCs w:val="22"/>
              </w:rPr>
              <w:t xml:space="preserve">ó amb </w:t>
            </w:r>
            <w:r w:rsidR="007C612F" w:rsidRPr="00E2328F">
              <w:rPr>
                <w:rFonts w:cs="Arial"/>
                <w:sz w:val="22"/>
                <w:szCs w:val="22"/>
              </w:rPr>
              <w:t>l’Administració local</w:t>
            </w:r>
            <w:r w:rsidR="009F76AA">
              <w:rPr>
                <w:rFonts w:cs="Arial"/>
                <w:sz w:val="22"/>
                <w:szCs w:val="22"/>
              </w:rPr>
              <w:t xml:space="preserve">, </w:t>
            </w:r>
            <w:r w:rsidR="0086181D" w:rsidRPr="00E2328F">
              <w:rPr>
                <w:rFonts w:cs="Arial"/>
                <w:sz w:val="22"/>
                <w:szCs w:val="22"/>
              </w:rPr>
              <w:t xml:space="preserve">vist que en alguns </w:t>
            </w:r>
            <w:r w:rsidR="009F76AA">
              <w:rPr>
                <w:rFonts w:cs="Arial"/>
                <w:sz w:val="22"/>
                <w:szCs w:val="22"/>
              </w:rPr>
              <w:t xml:space="preserve">ajuntaments </w:t>
            </w:r>
            <w:r w:rsidR="007C612F" w:rsidRPr="00E2328F">
              <w:rPr>
                <w:rFonts w:cs="Arial"/>
                <w:sz w:val="22"/>
                <w:szCs w:val="22"/>
              </w:rPr>
              <w:t xml:space="preserve">es tracta de </w:t>
            </w:r>
            <w:r w:rsidR="007E70D7" w:rsidRPr="00E2328F">
              <w:rPr>
                <w:rFonts w:cs="Arial"/>
                <w:sz w:val="22"/>
                <w:szCs w:val="22"/>
              </w:rPr>
              <w:t xml:space="preserve">funcionaris de carrera </w:t>
            </w:r>
            <w:r w:rsidR="0086181D" w:rsidRPr="00E2328F">
              <w:rPr>
                <w:rFonts w:cs="Arial"/>
                <w:sz w:val="22"/>
                <w:szCs w:val="22"/>
              </w:rPr>
              <w:t xml:space="preserve">mentre que en d’altres </w:t>
            </w:r>
            <w:r w:rsidR="007C612F" w:rsidRPr="00E2328F">
              <w:rPr>
                <w:rFonts w:cs="Arial"/>
                <w:sz w:val="22"/>
                <w:szCs w:val="22"/>
              </w:rPr>
              <w:t xml:space="preserve">de </w:t>
            </w:r>
            <w:r w:rsidR="007E70D7" w:rsidRPr="00E2328F">
              <w:rPr>
                <w:rFonts w:cs="Arial"/>
                <w:sz w:val="22"/>
                <w:szCs w:val="22"/>
              </w:rPr>
              <w:t xml:space="preserve">personal laboral. </w:t>
            </w:r>
          </w:p>
          <w:p w:rsidR="00994186" w:rsidRPr="00E2328F" w:rsidRDefault="00994186" w:rsidP="00B84EF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94186" w:rsidRPr="00E2328F" w:rsidRDefault="003E18B8" w:rsidP="00B84EF7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 xml:space="preserve">D’altra banda, 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hi ha </w:t>
            </w:r>
            <w:r w:rsidR="007C612F" w:rsidRPr="00E2328F">
              <w:rPr>
                <w:rFonts w:cs="Arial"/>
                <w:sz w:val="22"/>
                <w:szCs w:val="22"/>
              </w:rPr>
              <w:t>serveis de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 vigilants amb una estructura concreta amb la figura d’un cap, mentre que n’hi ha d’altres que no tenen una organització jeràrquica i</w:t>
            </w:r>
            <w:r w:rsidRPr="00E2328F">
              <w:rPr>
                <w:rFonts w:cs="Arial"/>
                <w:sz w:val="22"/>
                <w:szCs w:val="22"/>
              </w:rPr>
              <w:t>,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 per tant, també seria un dels aspectes que convindria homogeneïtzar i concretar.</w:t>
            </w:r>
          </w:p>
          <w:p w:rsidR="00994186" w:rsidRPr="00E2328F" w:rsidRDefault="00994186" w:rsidP="00B84EF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94186" w:rsidRPr="00E2328F" w:rsidRDefault="003E18B8" w:rsidP="00B84EF7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Així mateix, t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ampoc hi ha una regulació de l’uniforme, els emblemes, targetes </w:t>
            </w:r>
            <w:proofErr w:type="spellStart"/>
            <w:r w:rsidR="00994186" w:rsidRPr="00E2328F">
              <w:rPr>
                <w:rFonts w:cs="Arial"/>
                <w:sz w:val="22"/>
                <w:szCs w:val="22"/>
              </w:rPr>
              <w:t>identificatives</w:t>
            </w:r>
            <w:proofErr w:type="spellEnd"/>
            <w:r w:rsidR="00994186" w:rsidRPr="00E2328F">
              <w:rPr>
                <w:rFonts w:cs="Arial"/>
                <w:sz w:val="22"/>
                <w:szCs w:val="22"/>
              </w:rPr>
              <w:t xml:space="preserve">, escut, etc. la qual cosa comporta que en moltes ocasions els vigilants vesteixin amb una uniformitat </w:t>
            </w:r>
            <w:r w:rsidRPr="00E2328F">
              <w:rPr>
                <w:rFonts w:cs="Arial"/>
                <w:sz w:val="22"/>
                <w:szCs w:val="22"/>
              </w:rPr>
              <w:t>similar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 a la de les policies locals</w:t>
            </w:r>
            <w:r w:rsidRPr="00E2328F">
              <w:rPr>
                <w:rFonts w:cs="Arial"/>
                <w:sz w:val="22"/>
                <w:szCs w:val="22"/>
              </w:rPr>
              <w:t xml:space="preserve">, fet que pot </w:t>
            </w:r>
            <w:r w:rsidR="00994186" w:rsidRPr="00E2328F">
              <w:rPr>
                <w:rFonts w:cs="Arial"/>
                <w:sz w:val="22"/>
                <w:szCs w:val="22"/>
              </w:rPr>
              <w:t>confondre el ciutadà</w:t>
            </w:r>
            <w:r w:rsidRPr="00E2328F">
              <w:rPr>
                <w:rFonts w:cs="Arial"/>
                <w:sz w:val="22"/>
                <w:szCs w:val="22"/>
              </w:rPr>
              <w:t>,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 que pot entendre que són policies i</w:t>
            </w:r>
            <w:r w:rsidRPr="00E2328F">
              <w:rPr>
                <w:rFonts w:cs="Arial"/>
                <w:sz w:val="22"/>
                <w:szCs w:val="22"/>
              </w:rPr>
              <w:t>,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 per tant, que han d’exercir les mateixes funcions.</w:t>
            </w:r>
          </w:p>
          <w:p w:rsidR="00994186" w:rsidRPr="00E2328F" w:rsidRDefault="00994186" w:rsidP="00B84EF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75279" w:rsidRDefault="003E18B8" w:rsidP="00B84EF7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F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inalment, també cal destacar que manca la concreció del grup i subgrup de funcionaris </w:t>
            </w:r>
            <w:r w:rsidR="006F6FBB" w:rsidRPr="00E2328F">
              <w:rPr>
                <w:rFonts w:cs="Arial"/>
                <w:sz w:val="22"/>
                <w:szCs w:val="22"/>
              </w:rPr>
              <w:t xml:space="preserve">al qual han de pertànyer </w:t>
            </w:r>
            <w:r w:rsidR="00994186" w:rsidRPr="00E2328F">
              <w:rPr>
                <w:rFonts w:cs="Arial"/>
                <w:sz w:val="22"/>
                <w:szCs w:val="22"/>
              </w:rPr>
              <w:t>i el sistema d’accés i promoció. En aquest sentit</w:t>
            </w:r>
            <w:r w:rsidRPr="00E2328F">
              <w:rPr>
                <w:rFonts w:cs="Arial"/>
                <w:sz w:val="22"/>
                <w:szCs w:val="22"/>
              </w:rPr>
              <w:t>,</w:t>
            </w:r>
            <w:r w:rsidR="00994186" w:rsidRPr="00E2328F">
              <w:rPr>
                <w:rFonts w:cs="Arial"/>
                <w:sz w:val="22"/>
                <w:szCs w:val="22"/>
              </w:rPr>
              <w:t xml:space="preserve"> </w:t>
            </w:r>
            <w:r w:rsidR="006F6FBB" w:rsidRPr="00E2328F">
              <w:rPr>
                <w:rFonts w:cs="Arial"/>
                <w:sz w:val="22"/>
                <w:szCs w:val="22"/>
              </w:rPr>
              <w:t>amb l’actual regulació</w:t>
            </w:r>
            <w:r w:rsidR="00CA222B">
              <w:rPr>
                <w:rFonts w:cs="Arial"/>
                <w:sz w:val="22"/>
                <w:szCs w:val="22"/>
              </w:rPr>
              <w:t>,</w:t>
            </w:r>
            <w:r w:rsidR="006F6FBB" w:rsidRPr="00E2328F">
              <w:rPr>
                <w:rFonts w:cs="Arial"/>
                <w:sz w:val="22"/>
                <w:szCs w:val="22"/>
              </w:rPr>
              <w:t xml:space="preserve"> per ser vigilant no es requereix una formació obligatòria o l’aprovació d’un curs selectiu</w:t>
            </w:r>
            <w:r w:rsidR="00CA222B">
              <w:rPr>
                <w:rFonts w:cs="Arial"/>
                <w:sz w:val="22"/>
                <w:szCs w:val="22"/>
              </w:rPr>
              <w:t xml:space="preserve">; </w:t>
            </w:r>
            <w:r w:rsidRPr="00E2328F">
              <w:rPr>
                <w:rFonts w:cs="Arial"/>
                <w:sz w:val="22"/>
                <w:szCs w:val="22"/>
              </w:rPr>
              <w:t xml:space="preserve">només un 12% del col·lectiu ha realitzat el curs </w:t>
            </w:r>
            <w:r w:rsidR="00823330" w:rsidRPr="00E2328F">
              <w:rPr>
                <w:rFonts w:cs="Arial"/>
                <w:sz w:val="22"/>
                <w:szCs w:val="22"/>
              </w:rPr>
              <w:t xml:space="preserve">formatiu per a vigilants que s’ofereix a </w:t>
            </w:r>
            <w:r w:rsidR="006F6FBB" w:rsidRPr="00E2328F">
              <w:rPr>
                <w:rFonts w:cs="Arial"/>
                <w:sz w:val="22"/>
                <w:szCs w:val="22"/>
              </w:rPr>
              <w:t>l’Institut de Seguretat Pública de Cataluny</w:t>
            </w:r>
            <w:r w:rsidR="00FA7405" w:rsidRPr="00E2328F">
              <w:rPr>
                <w:rFonts w:cs="Arial"/>
                <w:sz w:val="22"/>
                <w:szCs w:val="22"/>
              </w:rPr>
              <w:t>a</w:t>
            </w:r>
            <w:r w:rsidR="00475279">
              <w:rPr>
                <w:rFonts w:cs="Arial"/>
                <w:sz w:val="22"/>
                <w:szCs w:val="22"/>
              </w:rPr>
              <w:t>, t</w:t>
            </w:r>
            <w:r w:rsidR="00FA7405" w:rsidRPr="00E2328F">
              <w:rPr>
                <w:rFonts w:cs="Arial"/>
                <w:sz w:val="22"/>
                <w:szCs w:val="22"/>
              </w:rPr>
              <w:t xml:space="preserve">ot i que és molt recomanable la realització d’aquest curs per part dels vigilants municipals, atès que els dota de coneixements jurídics i tècnics per dur a terme </w:t>
            </w:r>
            <w:r w:rsidR="00435DD3" w:rsidRPr="00E2328F">
              <w:rPr>
                <w:rFonts w:cs="Arial"/>
                <w:sz w:val="22"/>
                <w:szCs w:val="22"/>
              </w:rPr>
              <w:t>les seves funcions</w:t>
            </w:r>
            <w:r w:rsidR="00475279">
              <w:rPr>
                <w:rFonts w:cs="Arial"/>
                <w:sz w:val="22"/>
                <w:szCs w:val="22"/>
              </w:rPr>
              <w:t>.</w:t>
            </w:r>
          </w:p>
          <w:p w:rsidR="00E000FE" w:rsidRPr="00E2328F" w:rsidRDefault="00E000FE" w:rsidP="00467A36">
            <w:pPr>
              <w:jc w:val="both"/>
              <w:rPr>
                <w:rFonts w:cs="Arial"/>
                <w:bCs/>
                <w:strike/>
                <w:kern w:val="32"/>
                <w:sz w:val="22"/>
                <w:szCs w:val="22"/>
              </w:rPr>
            </w:pPr>
          </w:p>
          <w:p w:rsidR="00E000FE" w:rsidRPr="00E2328F" w:rsidRDefault="00E000FE" w:rsidP="00467A36">
            <w:pPr>
              <w:pStyle w:val="Prrafodelista"/>
              <w:ind w:left="0"/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</w:tc>
      </w:tr>
      <w:tr w:rsidR="008A0BA5" w:rsidRPr="008A0BA5" w:rsidTr="006F6FBB">
        <w:trPr>
          <w:gridAfter w:val="1"/>
          <w:wAfter w:w="20" w:type="pct"/>
        </w:trPr>
        <w:tc>
          <w:tcPr>
            <w:tcW w:w="406" w:type="pct"/>
            <w:shd w:val="clear" w:color="auto" w:fill="DEEAF6"/>
          </w:tcPr>
          <w:p w:rsidR="00E000FE" w:rsidRPr="00E2328F" w:rsidRDefault="006F6FBB" w:rsidP="006F6FBB">
            <w:pPr>
              <w:ind w:left="360" w:hanging="328"/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E2328F">
              <w:rPr>
                <w:rFonts w:eastAsia="Times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575" w:type="pct"/>
            <w:shd w:val="clear" w:color="auto" w:fill="DEEAF6"/>
          </w:tcPr>
          <w:p w:rsidR="00E000FE" w:rsidRPr="00E2328F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E000FE" w:rsidRPr="00E2328F" w:rsidRDefault="00E000FE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E2328F">
              <w:rPr>
                <w:rFonts w:eastAsia="Times" w:cs="Arial"/>
                <w:b/>
                <w:sz w:val="22"/>
                <w:szCs w:val="22"/>
              </w:rPr>
              <w:t>Els objectius que es volen assolir</w:t>
            </w:r>
          </w:p>
        </w:tc>
      </w:tr>
      <w:tr w:rsidR="008A0BA5" w:rsidRPr="008A0BA5" w:rsidTr="006F6FBB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:rsidR="00E2328F" w:rsidRPr="00E2328F" w:rsidRDefault="00E2328F" w:rsidP="00A665AD">
            <w:pPr>
              <w:pStyle w:val="Prrafodelista"/>
              <w:ind w:left="0" w:firstLine="29"/>
              <w:jc w:val="both"/>
              <w:rPr>
                <w:rFonts w:cs="Arial"/>
                <w:strike/>
                <w:sz w:val="22"/>
                <w:szCs w:val="22"/>
                <w:lang w:eastAsia="ca-ES"/>
              </w:rPr>
            </w:pPr>
          </w:p>
          <w:p w:rsidR="00E000FE" w:rsidRPr="00E2328F" w:rsidRDefault="00511A58" w:rsidP="00A665AD">
            <w:pPr>
              <w:pStyle w:val="Prrafodelista"/>
              <w:ind w:left="0" w:firstLine="29"/>
              <w:jc w:val="both"/>
              <w:rPr>
                <w:rFonts w:cs="Arial"/>
                <w:sz w:val="22"/>
                <w:szCs w:val="22"/>
                <w:lang w:eastAsia="ca-ES"/>
              </w:rPr>
            </w:pPr>
            <w:r w:rsidRPr="00E2328F">
              <w:rPr>
                <w:rFonts w:cs="Arial"/>
                <w:sz w:val="22"/>
                <w:szCs w:val="22"/>
                <w:lang w:eastAsia="ca-ES"/>
              </w:rPr>
              <w:t xml:space="preserve">Es pretén assolir </w:t>
            </w:r>
            <w:r w:rsidR="00B74F53" w:rsidRPr="00E2328F">
              <w:rPr>
                <w:rFonts w:cs="Arial"/>
                <w:sz w:val="22"/>
                <w:szCs w:val="22"/>
                <w:lang w:eastAsia="ca-ES"/>
              </w:rPr>
              <w:t xml:space="preserve">un marc normatiu que doti de seguretat jurídica </w:t>
            </w:r>
            <w:r w:rsidRPr="00E2328F">
              <w:rPr>
                <w:rFonts w:cs="Arial"/>
                <w:sz w:val="22"/>
                <w:szCs w:val="22"/>
                <w:lang w:eastAsia="ca-ES"/>
              </w:rPr>
              <w:t xml:space="preserve">el </w:t>
            </w:r>
            <w:r w:rsidR="00B74F53" w:rsidRPr="00E2328F">
              <w:rPr>
                <w:rFonts w:cs="Arial"/>
                <w:sz w:val="22"/>
                <w:szCs w:val="22"/>
                <w:lang w:eastAsia="ca-ES"/>
              </w:rPr>
              <w:t>col·lectiu</w:t>
            </w:r>
            <w:r w:rsidRPr="00E2328F">
              <w:rPr>
                <w:rFonts w:cs="Arial"/>
                <w:sz w:val="22"/>
                <w:szCs w:val="22"/>
                <w:lang w:eastAsia="ca-ES"/>
              </w:rPr>
              <w:t xml:space="preserve"> de vigilants municipals</w:t>
            </w:r>
            <w:r w:rsidR="00823330" w:rsidRPr="00E2328F">
              <w:rPr>
                <w:rFonts w:cs="Arial"/>
                <w:sz w:val="22"/>
                <w:szCs w:val="22"/>
                <w:lang w:eastAsia="ca-ES"/>
              </w:rPr>
              <w:t>,</w:t>
            </w:r>
            <w:r w:rsidR="00B74F53" w:rsidRPr="00E2328F">
              <w:rPr>
                <w:rFonts w:cs="Arial"/>
                <w:sz w:val="22"/>
                <w:szCs w:val="22"/>
                <w:lang w:eastAsia="ca-ES"/>
              </w:rPr>
              <w:t xml:space="preserve"> tant pel que fa a l’accés, organització, formació, funcions, uniformitat o</w:t>
            </w:r>
            <w:r w:rsidR="00994186" w:rsidRPr="00E2328F">
              <w:rPr>
                <w:rFonts w:cs="Arial"/>
                <w:sz w:val="22"/>
                <w:szCs w:val="22"/>
                <w:lang w:eastAsia="ca-ES"/>
              </w:rPr>
              <w:t xml:space="preserve"> els mitjans d’auto</w:t>
            </w:r>
            <w:r w:rsidR="00823330" w:rsidRPr="00E2328F">
              <w:rPr>
                <w:rFonts w:cs="Arial"/>
                <w:sz w:val="22"/>
                <w:szCs w:val="22"/>
                <w:lang w:eastAsia="ca-ES"/>
              </w:rPr>
              <w:t xml:space="preserve">protecció </w:t>
            </w:r>
            <w:r w:rsidR="00B74F53" w:rsidRPr="00E2328F">
              <w:rPr>
                <w:rFonts w:cs="Arial"/>
                <w:sz w:val="22"/>
                <w:szCs w:val="22"/>
                <w:lang w:eastAsia="ca-ES"/>
              </w:rPr>
              <w:t>que poden dur</w:t>
            </w:r>
            <w:r w:rsidR="00823330" w:rsidRPr="00E2328F">
              <w:rPr>
                <w:rFonts w:cs="Arial"/>
                <w:sz w:val="22"/>
                <w:szCs w:val="22"/>
                <w:lang w:eastAsia="ca-ES"/>
              </w:rPr>
              <w:t>,</w:t>
            </w:r>
            <w:r w:rsidR="00B74F53" w:rsidRPr="00E2328F">
              <w:rPr>
                <w:rFonts w:cs="Arial"/>
                <w:sz w:val="22"/>
                <w:szCs w:val="22"/>
                <w:lang w:eastAsia="ca-ES"/>
              </w:rPr>
              <w:t xml:space="preserve"> atès que l’actual normativa resulta totalment insuficient o és inexistent.</w:t>
            </w:r>
          </w:p>
          <w:p w:rsidR="009F76AA" w:rsidRDefault="009F76AA" w:rsidP="00A665AD">
            <w:pPr>
              <w:pStyle w:val="Prrafodelista"/>
              <w:ind w:left="0" w:firstLine="29"/>
              <w:jc w:val="both"/>
              <w:rPr>
                <w:rFonts w:cs="Arial"/>
                <w:sz w:val="22"/>
                <w:szCs w:val="22"/>
                <w:lang w:eastAsia="ca-ES"/>
              </w:rPr>
            </w:pPr>
          </w:p>
          <w:p w:rsidR="00511A58" w:rsidRPr="00E2328F" w:rsidRDefault="00511A58" w:rsidP="00A665AD">
            <w:pPr>
              <w:pStyle w:val="Prrafodelista"/>
              <w:ind w:left="0" w:firstLine="29"/>
              <w:jc w:val="both"/>
              <w:rPr>
                <w:rFonts w:cs="Arial"/>
                <w:sz w:val="22"/>
                <w:szCs w:val="22"/>
                <w:lang w:eastAsia="ca-ES"/>
              </w:rPr>
            </w:pPr>
            <w:r w:rsidRPr="00E2328F">
              <w:rPr>
                <w:rFonts w:cs="Arial"/>
                <w:sz w:val="22"/>
                <w:szCs w:val="22"/>
                <w:lang w:eastAsia="ca-ES"/>
              </w:rPr>
              <w:t>En aquest sentit, es pretén també assegurar l’efectivitat dels principis d’igualtat, mèrit i capacitat en l’accés a la condició de vigilants municipals així com garantir la prestació efectiva i la qualitat del servei dels vigilants municipals en condicions d’homogeneïtat territorial.</w:t>
            </w:r>
          </w:p>
          <w:p w:rsidR="00A665AD" w:rsidRPr="00E2328F" w:rsidRDefault="00A665AD" w:rsidP="00A665AD">
            <w:pPr>
              <w:pStyle w:val="Prrafodelista"/>
              <w:ind w:left="0" w:firstLine="29"/>
              <w:jc w:val="both"/>
              <w:rPr>
                <w:rFonts w:eastAsia="Times" w:cs="Arial"/>
                <w:sz w:val="22"/>
                <w:szCs w:val="22"/>
              </w:rPr>
            </w:pPr>
          </w:p>
        </w:tc>
      </w:tr>
      <w:tr w:rsidR="008A0BA5" w:rsidRPr="008A0BA5" w:rsidTr="006F6FBB">
        <w:trPr>
          <w:gridAfter w:val="1"/>
          <w:wAfter w:w="20" w:type="pct"/>
        </w:trPr>
        <w:tc>
          <w:tcPr>
            <w:tcW w:w="406" w:type="pct"/>
            <w:shd w:val="clear" w:color="auto" w:fill="DEEAF6"/>
          </w:tcPr>
          <w:p w:rsidR="00413CC0" w:rsidRPr="00E2328F" w:rsidRDefault="00413CC0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413CC0" w:rsidRPr="00E2328F" w:rsidRDefault="00413CC0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E2328F">
              <w:rPr>
                <w:rFonts w:eastAsia="Times" w:cs="Arial"/>
                <w:b/>
                <w:sz w:val="22"/>
                <w:szCs w:val="22"/>
              </w:rPr>
              <w:t>3</w:t>
            </w:r>
          </w:p>
        </w:tc>
        <w:tc>
          <w:tcPr>
            <w:tcW w:w="4575" w:type="pct"/>
            <w:shd w:val="clear" w:color="auto" w:fill="DEEAF6"/>
          </w:tcPr>
          <w:p w:rsidR="00413CC0" w:rsidRPr="00E2328F" w:rsidRDefault="00413CC0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413CC0" w:rsidRPr="00E2328F" w:rsidRDefault="00413CC0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E2328F">
              <w:rPr>
                <w:rFonts w:eastAsia="Times" w:cs="Arial"/>
                <w:b/>
                <w:sz w:val="22"/>
                <w:szCs w:val="22"/>
              </w:rPr>
              <w:t>Les possibles solucions normatives i no normatives</w:t>
            </w:r>
          </w:p>
        </w:tc>
      </w:tr>
      <w:tr w:rsidR="008A0BA5" w:rsidRPr="008A0BA5" w:rsidTr="006F6FBB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:rsidR="00413CC0" w:rsidRPr="00E2328F" w:rsidRDefault="00413CC0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13CC0" w:rsidRPr="00E2328F" w:rsidRDefault="00413CC0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L’anàlis</w:t>
            </w:r>
            <w:r w:rsidR="00797432" w:rsidRPr="00E2328F">
              <w:rPr>
                <w:rFonts w:cs="Arial"/>
                <w:sz w:val="22"/>
                <w:szCs w:val="22"/>
              </w:rPr>
              <w:t>i de les alternatives actuals se</w:t>
            </w:r>
            <w:r w:rsidRPr="00E2328F">
              <w:rPr>
                <w:rFonts w:cs="Arial"/>
                <w:sz w:val="22"/>
                <w:szCs w:val="22"/>
              </w:rPr>
              <w:t xml:space="preserve"> centra entre l’opció de no fer res i mantenir la situació</w:t>
            </w:r>
            <w:r w:rsidR="00797432" w:rsidRPr="00E2328F">
              <w:rPr>
                <w:rFonts w:cs="Arial"/>
                <w:sz w:val="22"/>
                <w:szCs w:val="22"/>
              </w:rPr>
              <w:t xml:space="preserve"> actual i l’opció d’aprovar el Decret</w:t>
            </w:r>
            <w:r w:rsidRPr="00E2328F">
              <w:rPr>
                <w:rFonts w:cs="Arial"/>
                <w:sz w:val="22"/>
                <w:szCs w:val="22"/>
              </w:rPr>
              <w:t xml:space="preserve"> </w:t>
            </w:r>
            <w:r w:rsidR="00B74F53" w:rsidRPr="00E2328F">
              <w:rPr>
                <w:rFonts w:cs="Arial"/>
                <w:sz w:val="22"/>
                <w:szCs w:val="22"/>
              </w:rPr>
              <w:t>de regulació dels vigilants municipals</w:t>
            </w:r>
            <w:r w:rsidRPr="00E2328F">
              <w:rPr>
                <w:rFonts w:cs="Arial"/>
                <w:sz w:val="22"/>
                <w:szCs w:val="22"/>
              </w:rPr>
              <w:t>.</w:t>
            </w:r>
          </w:p>
          <w:p w:rsidR="00413CC0" w:rsidRPr="00E2328F" w:rsidRDefault="00413CC0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13CC0" w:rsidRPr="00E2328F" w:rsidRDefault="00413CC0" w:rsidP="00467A36">
            <w:p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A continuació es detallen les alternatives avaluades:</w:t>
            </w:r>
          </w:p>
          <w:p w:rsidR="00413CC0" w:rsidRPr="00E2328F" w:rsidRDefault="00413CC0" w:rsidP="00467A36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13CC0" w:rsidRPr="00E2328F" w:rsidRDefault="00413CC0" w:rsidP="003F7575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L’opció de “no fer res”</w:t>
            </w:r>
            <w:r w:rsidR="00066D4A" w:rsidRPr="00E2328F">
              <w:rPr>
                <w:rFonts w:cs="Arial"/>
                <w:sz w:val="22"/>
                <w:szCs w:val="22"/>
              </w:rPr>
              <w:t xml:space="preserve"> o mantenir la situació actual</w:t>
            </w:r>
            <w:r w:rsidRPr="00E2328F">
              <w:rPr>
                <w:rFonts w:cs="Arial"/>
                <w:sz w:val="22"/>
                <w:szCs w:val="22"/>
              </w:rPr>
              <w:t xml:space="preserve"> resulta inadequada </w:t>
            </w:r>
            <w:r w:rsidR="00B74F53" w:rsidRPr="00E2328F">
              <w:rPr>
                <w:rFonts w:cs="Arial"/>
                <w:sz w:val="22"/>
                <w:szCs w:val="22"/>
              </w:rPr>
              <w:t>i totalment insuficient</w:t>
            </w:r>
            <w:r w:rsidR="00823330" w:rsidRPr="00E2328F">
              <w:rPr>
                <w:rFonts w:cs="Arial"/>
                <w:sz w:val="22"/>
                <w:szCs w:val="22"/>
              </w:rPr>
              <w:t>,</w:t>
            </w:r>
            <w:r w:rsidR="00B74F53" w:rsidRPr="00E2328F">
              <w:rPr>
                <w:rFonts w:cs="Arial"/>
                <w:sz w:val="22"/>
                <w:szCs w:val="22"/>
              </w:rPr>
              <w:t xml:space="preserve"> atès que hi ha una inseguretat jurídica envers tot el que envolta aquest col·lectiu</w:t>
            </w:r>
            <w:r w:rsidR="003F7575" w:rsidRPr="00E2328F">
              <w:rPr>
                <w:rFonts w:cs="Arial"/>
                <w:sz w:val="22"/>
                <w:szCs w:val="22"/>
              </w:rPr>
              <w:t xml:space="preserve">. Per aquest motiu, </w:t>
            </w:r>
            <w:r w:rsidR="00797432" w:rsidRPr="00E2328F">
              <w:rPr>
                <w:rFonts w:cs="Arial"/>
                <w:sz w:val="22"/>
                <w:szCs w:val="22"/>
              </w:rPr>
              <w:t xml:space="preserve">és necessari regular </w:t>
            </w:r>
            <w:r w:rsidR="00B74F53" w:rsidRPr="00E2328F">
              <w:rPr>
                <w:rFonts w:cs="Arial"/>
                <w:sz w:val="22"/>
                <w:szCs w:val="22"/>
              </w:rPr>
              <w:t>els vigilants municipals.</w:t>
            </w:r>
          </w:p>
          <w:p w:rsidR="00D357E7" w:rsidRPr="00E2328F" w:rsidRDefault="00D357E7" w:rsidP="00D357E7">
            <w:pPr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:rsidR="00413CC0" w:rsidRPr="00E2328F" w:rsidRDefault="00413CC0" w:rsidP="00467A36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L’opció normativa preferida suposa:</w:t>
            </w:r>
          </w:p>
          <w:p w:rsidR="00413CC0" w:rsidRPr="00E2328F" w:rsidRDefault="00413CC0" w:rsidP="00467A36">
            <w:pPr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:rsidR="00F557AB" w:rsidRPr="00E2328F" w:rsidRDefault="00413CC0" w:rsidP="00B74F53">
            <w:pPr>
              <w:ind w:left="708"/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 xml:space="preserve">Establir </w:t>
            </w:r>
            <w:r w:rsidR="00F557AB" w:rsidRPr="00E2328F">
              <w:rPr>
                <w:rFonts w:cs="Arial"/>
                <w:sz w:val="22"/>
                <w:szCs w:val="22"/>
              </w:rPr>
              <w:t>i desenvolupar</w:t>
            </w:r>
            <w:r w:rsidR="00B74F53" w:rsidRPr="00E2328F">
              <w:rPr>
                <w:rFonts w:cs="Arial"/>
                <w:sz w:val="22"/>
                <w:szCs w:val="22"/>
              </w:rPr>
              <w:t xml:space="preserve"> el marc normatiu dels vigilants municipals</w:t>
            </w:r>
            <w:r w:rsidR="009F76AA">
              <w:rPr>
                <w:rFonts w:cs="Arial"/>
                <w:sz w:val="22"/>
                <w:szCs w:val="22"/>
              </w:rPr>
              <w:t>,</w:t>
            </w:r>
            <w:r w:rsidR="00B74F53" w:rsidRPr="00E2328F">
              <w:rPr>
                <w:rFonts w:cs="Arial"/>
                <w:sz w:val="22"/>
                <w:szCs w:val="22"/>
              </w:rPr>
              <w:t xml:space="preserve"> ara per ara totalment insuficient</w:t>
            </w:r>
            <w:r w:rsidR="009F76AA">
              <w:rPr>
                <w:rFonts w:cs="Arial"/>
                <w:sz w:val="22"/>
                <w:szCs w:val="22"/>
              </w:rPr>
              <w:t>,</w:t>
            </w:r>
            <w:r w:rsidR="00511A58" w:rsidRPr="00E2328F">
              <w:rPr>
                <w:rFonts w:cs="Arial"/>
                <w:sz w:val="22"/>
                <w:szCs w:val="22"/>
              </w:rPr>
              <w:t xml:space="preserve"> </w:t>
            </w:r>
            <w:r w:rsidR="009F76AA">
              <w:rPr>
                <w:rFonts w:cs="Arial"/>
                <w:sz w:val="22"/>
                <w:szCs w:val="22"/>
              </w:rPr>
              <w:t xml:space="preserve">per tal de </w:t>
            </w:r>
            <w:r w:rsidR="00511A58" w:rsidRPr="00E2328F">
              <w:rPr>
                <w:rFonts w:cs="Arial"/>
                <w:sz w:val="22"/>
                <w:szCs w:val="22"/>
              </w:rPr>
              <w:t>concretar el règim funcionarial d’aquest personal, establ</w:t>
            </w:r>
            <w:r w:rsidR="009F76AA">
              <w:rPr>
                <w:rFonts w:cs="Arial"/>
                <w:sz w:val="22"/>
                <w:szCs w:val="22"/>
              </w:rPr>
              <w:t>ir</w:t>
            </w:r>
            <w:r w:rsidR="00511A58" w:rsidRPr="00E2328F">
              <w:rPr>
                <w:rFonts w:cs="Arial"/>
                <w:sz w:val="22"/>
                <w:szCs w:val="22"/>
              </w:rPr>
              <w:t xml:space="preserve"> uns requisits d’accés homogenis i idonis per a la prestació del servei</w:t>
            </w:r>
            <w:r w:rsidR="009F76AA">
              <w:rPr>
                <w:rFonts w:cs="Arial"/>
                <w:sz w:val="22"/>
                <w:szCs w:val="22"/>
              </w:rPr>
              <w:t xml:space="preserve"> i</w:t>
            </w:r>
            <w:r w:rsidR="00511A58" w:rsidRPr="00E2328F">
              <w:rPr>
                <w:rFonts w:cs="Arial"/>
                <w:sz w:val="22"/>
                <w:szCs w:val="22"/>
              </w:rPr>
              <w:t xml:space="preserve"> una formació mínima i obligatòria, </w:t>
            </w:r>
            <w:r w:rsidR="009F76AA">
              <w:rPr>
                <w:rFonts w:cs="Arial"/>
                <w:sz w:val="22"/>
                <w:szCs w:val="22"/>
              </w:rPr>
              <w:t xml:space="preserve">així com homogeneïtzar </w:t>
            </w:r>
            <w:r w:rsidR="00511A58" w:rsidRPr="00E2328F">
              <w:rPr>
                <w:rFonts w:cs="Arial"/>
                <w:sz w:val="22"/>
                <w:szCs w:val="22"/>
              </w:rPr>
              <w:t>l’ús i dotació d’instruments d’autoprotecció</w:t>
            </w:r>
            <w:r w:rsidR="009F76AA">
              <w:rPr>
                <w:rFonts w:cs="Arial"/>
                <w:sz w:val="22"/>
                <w:szCs w:val="22"/>
              </w:rPr>
              <w:t xml:space="preserve">, així com la uniformitat, </w:t>
            </w:r>
            <w:r w:rsidR="00511A58" w:rsidRPr="00E2328F">
              <w:rPr>
                <w:rFonts w:cs="Arial"/>
                <w:sz w:val="22"/>
                <w:szCs w:val="22"/>
              </w:rPr>
              <w:t>entre d’altres.</w:t>
            </w:r>
          </w:p>
          <w:p w:rsidR="00D357E7" w:rsidRPr="00E2328F" w:rsidRDefault="00D357E7" w:rsidP="00D357E7">
            <w:pPr>
              <w:pStyle w:val="Prrafodelista"/>
              <w:ind w:left="1080"/>
              <w:jc w:val="both"/>
              <w:rPr>
                <w:rFonts w:cs="Arial"/>
                <w:sz w:val="22"/>
                <w:szCs w:val="22"/>
              </w:rPr>
            </w:pPr>
          </w:p>
          <w:p w:rsidR="00890218" w:rsidRPr="00E2328F" w:rsidRDefault="00E50505" w:rsidP="0089021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E2328F">
              <w:rPr>
                <w:rFonts w:cs="Arial"/>
                <w:sz w:val="22"/>
                <w:szCs w:val="22"/>
              </w:rPr>
              <w:t>No és possible una solució no normativa</w:t>
            </w:r>
            <w:r w:rsidR="00890218" w:rsidRPr="00E2328F">
              <w:rPr>
                <w:rFonts w:cs="Arial"/>
                <w:sz w:val="22"/>
                <w:szCs w:val="22"/>
              </w:rPr>
              <w:t>.</w:t>
            </w:r>
          </w:p>
          <w:p w:rsidR="00911309" w:rsidRPr="00E2328F" w:rsidRDefault="00911309" w:rsidP="00911309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</w:tc>
      </w:tr>
      <w:tr w:rsidR="008A0BA5" w:rsidRPr="008A0BA5" w:rsidTr="006F6FBB">
        <w:trPr>
          <w:gridAfter w:val="1"/>
          <w:wAfter w:w="20" w:type="pct"/>
        </w:trPr>
        <w:tc>
          <w:tcPr>
            <w:tcW w:w="406" w:type="pct"/>
            <w:shd w:val="clear" w:color="auto" w:fill="DEEAF6"/>
          </w:tcPr>
          <w:p w:rsidR="00F557AB" w:rsidRPr="00E2328F" w:rsidRDefault="00F557AB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F557AB" w:rsidRPr="00E2328F" w:rsidRDefault="00F557AB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E2328F">
              <w:rPr>
                <w:rFonts w:eastAsia="Times" w:cs="Arial"/>
                <w:b/>
                <w:sz w:val="22"/>
                <w:szCs w:val="22"/>
              </w:rPr>
              <w:t>4</w:t>
            </w:r>
          </w:p>
        </w:tc>
        <w:tc>
          <w:tcPr>
            <w:tcW w:w="4575" w:type="pct"/>
            <w:shd w:val="clear" w:color="auto" w:fill="DEEAF6"/>
          </w:tcPr>
          <w:p w:rsidR="00F557AB" w:rsidRPr="00E2328F" w:rsidRDefault="00F557AB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F557AB" w:rsidRPr="00E2328F" w:rsidRDefault="00F557AB" w:rsidP="00467A36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E2328F">
              <w:rPr>
                <w:rFonts w:eastAsia="Times" w:cs="Arial"/>
                <w:b/>
                <w:sz w:val="22"/>
                <w:szCs w:val="22"/>
              </w:rPr>
              <w:t>Els impactes econòmics, socials i ambientals més rellevants de les opcions considerades</w:t>
            </w:r>
          </w:p>
        </w:tc>
      </w:tr>
      <w:tr w:rsidR="008A0BA5" w:rsidRPr="008A0BA5" w:rsidTr="006F6FBB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:rsidR="00F557AB" w:rsidRPr="00E2328F" w:rsidRDefault="00F557AB" w:rsidP="00467A36">
            <w:pPr>
              <w:pStyle w:val="Prrafodelista"/>
              <w:jc w:val="both"/>
              <w:rPr>
                <w:rFonts w:eastAsia="Times" w:cs="Arial"/>
                <w:sz w:val="22"/>
                <w:szCs w:val="22"/>
              </w:rPr>
            </w:pPr>
          </w:p>
          <w:p w:rsidR="00F557AB" w:rsidRPr="00E2328F" w:rsidRDefault="00F557AB" w:rsidP="00467A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" w:cs="Arial"/>
                <w:sz w:val="22"/>
                <w:szCs w:val="22"/>
              </w:rPr>
            </w:pPr>
            <w:r w:rsidRPr="00E2328F">
              <w:rPr>
                <w:rFonts w:eastAsia="Times" w:cs="Arial"/>
                <w:sz w:val="22"/>
                <w:szCs w:val="22"/>
              </w:rPr>
              <w:t>Impacte sobre l’Administració de la Generalitat.</w:t>
            </w:r>
          </w:p>
          <w:p w:rsidR="00F557AB" w:rsidRPr="00E2328F" w:rsidRDefault="00E50505" w:rsidP="00467A36">
            <w:pPr>
              <w:pStyle w:val="Prrafodelista"/>
              <w:ind w:left="1080"/>
              <w:jc w:val="both"/>
              <w:rPr>
                <w:rFonts w:eastAsia="Times" w:cs="Arial"/>
                <w:sz w:val="22"/>
                <w:szCs w:val="22"/>
              </w:rPr>
            </w:pPr>
            <w:r w:rsidRPr="00E2328F">
              <w:rPr>
                <w:rFonts w:eastAsia="Times" w:cs="Arial"/>
                <w:sz w:val="22"/>
                <w:szCs w:val="22"/>
              </w:rPr>
              <w:t>No es preveu cap cost per a la Generalitat d</w:t>
            </w:r>
            <w:r w:rsidR="00911309" w:rsidRPr="00E2328F">
              <w:rPr>
                <w:rFonts w:eastAsia="Times" w:cs="Arial"/>
                <w:sz w:val="22"/>
                <w:szCs w:val="22"/>
              </w:rPr>
              <w:t>e</w:t>
            </w:r>
            <w:r w:rsidRPr="00E2328F">
              <w:rPr>
                <w:rFonts w:eastAsia="Times" w:cs="Arial"/>
                <w:sz w:val="22"/>
                <w:szCs w:val="22"/>
              </w:rPr>
              <w:t xml:space="preserve"> Catalunya</w:t>
            </w:r>
            <w:r w:rsidR="00911309" w:rsidRPr="00E2328F">
              <w:rPr>
                <w:rFonts w:eastAsia="Times" w:cs="Arial"/>
                <w:sz w:val="22"/>
                <w:szCs w:val="22"/>
              </w:rPr>
              <w:t>, si bé l’establiment d’un curs de formació de caràcter obligatori podria comportar un increment en la despesa i recursos tant humans com materials de l’Institut de Seguretat Pública de Catalunya</w:t>
            </w:r>
            <w:r w:rsidR="00182E1F">
              <w:rPr>
                <w:rFonts w:eastAsia="Times" w:cs="Arial"/>
                <w:sz w:val="22"/>
                <w:szCs w:val="22"/>
              </w:rPr>
              <w:t>.</w:t>
            </w:r>
          </w:p>
          <w:p w:rsidR="00F557AB" w:rsidRPr="00E2328F" w:rsidRDefault="00F557AB" w:rsidP="00467A36">
            <w:pPr>
              <w:ind w:left="720"/>
              <w:jc w:val="both"/>
              <w:rPr>
                <w:rFonts w:eastAsia="Times" w:cs="Arial"/>
                <w:sz w:val="22"/>
                <w:szCs w:val="22"/>
              </w:rPr>
            </w:pPr>
          </w:p>
          <w:p w:rsidR="00F557AB" w:rsidRPr="00E2328F" w:rsidRDefault="00F557AB" w:rsidP="00467A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" w:cs="Arial"/>
                <w:sz w:val="22"/>
                <w:szCs w:val="22"/>
              </w:rPr>
            </w:pPr>
            <w:r w:rsidRPr="00E2328F">
              <w:rPr>
                <w:rFonts w:eastAsia="Times" w:cs="Arial"/>
                <w:sz w:val="22"/>
                <w:szCs w:val="22"/>
              </w:rPr>
              <w:t xml:space="preserve">Impacte sobre les administracions locals, tenint en compte la seva dimensió i el règim especial de </w:t>
            </w:r>
            <w:r w:rsidR="00B336C2" w:rsidRPr="00E2328F">
              <w:rPr>
                <w:rFonts w:eastAsia="Times" w:cs="Arial"/>
                <w:sz w:val="22"/>
                <w:szCs w:val="22"/>
              </w:rPr>
              <w:t>Catalunya.</w:t>
            </w:r>
          </w:p>
          <w:p w:rsidR="00F557AB" w:rsidRPr="00E2328F" w:rsidRDefault="00E50505" w:rsidP="00467A36">
            <w:pPr>
              <w:pStyle w:val="Prrafodelista"/>
              <w:ind w:left="1080"/>
              <w:jc w:val="both"/>
              <w:rPr>
                <w:rFonts w:eastAsia="Times" w:cs="Arial"/>
                <w:sz w:val="22"/>
                <w:szCs w:val="22"/>
              </w:rPr>
            </w:pPr>
            <w:r w:rsidRPr="00E2328F">
              <w:rPr>
                <w:rFonts w:eastAsia="Times" w:cs="Arial"/>
                <w:sz w:val="22"/>
                <w:szCs w:val="22"/>
              </w:rPr>
              <w:t>Es preveu un</w:t>
            </w:r>
            <w:r w:rsidR="00F557AB" w:rsidRPr="00E2328F">
              <w:rPr>
                <w:rFonts w:eastAsia="Times" w:cs="Arial"/>
                <w:sz w:val="22"/>
                <w:szCs w:val="22"/>
              </w:rPr>
              <w:t xml:space="preserve"> impacte so</w:t>
            </w:r>
            <w:r w:rsidRPr="00E2328F">
              <w:rPr>
                <w:rFonts w:eastAsia="Times" w:cs="Arial"/>
                <w:sz w:val="22"/>
                <w:szCs w:val="22"/>
              </w:rPr>
              <w:t>bre les administracions locals que dependrà de la seva aplicació i de la dimensió del cos de vigilants.</w:t>
            </w:r>
            <w:r w:rsidR="002F7585" w:rsidRPr="00E2328F">
              <w:rPr>
                <w:rFonts w:eastAsia="Times" w:cs="Arial"/>
                <w:sz w:val="22"/>
                <w:szCs w:val="22"/>
              </w:rPr>
              <w:t xml:space="preserve"> Així, l’establiment de certs mitjans d’autodefensa o l’obligatorietat d’un curs selectiu pot comportar un augment en les despeses per als Ajuntaments afectats.</w:t>
            </w:r>
          </w:p>
          <w:p w:rsidR="00F557AB" w:rsidRPr="00E2328F" w:rsidRDefault="00F557AB" w:rsidP="00467A36">
            <w:pPr>
              <w:ind w:left="720"/>
              <w:jc w:val="both"/>
              <w:rPr>
                <w:rFonts w:eastAsia="Times" w:cs="Arial"/>
                <w:sz w:val="22"/>
                <w:szCs w:val="22"/>
              </w:rPr>
            </w:pPr>
          </w:p>
          <w:p w:rsidR="00F557AB" w:rsidRPr="00E2328F" w:rsidRDefault="00F557AB" w:rsidP="00467A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" w:cs="Arial"/>
                <w:sz w:val="22"/>
                <w:szCs w:val="22"/>
              </w:rPr>
            </w:pPr>
            <w:r w:rsidRPr="00E2328F">
              <w:rPr>
                <w:rFonts w:eastAsia="Times" w:cs="Arial"/>
                <w:sz w:val="22"/>
                <w:szCs w:val="22"/>
              </w:rPr>
              <w:t>Impacte sobre les mesures d’intervenció administrativa i des de la perspectiva de la reducció de càrregues administratives per als ciutadans i per a les empreses.</w:t>
            </w:r>
          </w:p>
          <w:p w:rsidR="00F557AB" w:rsidRPr="00E2328F" w:rsidRDefault="00F557AB" w:rsidP="00467A36">
            <w:pPr>
              <w:pStyle w:val="Prrafodelista"/>
              <w:ind w:left="1080"/>
              <w:jc w:val="both"/>
              <w:rPr>
                <w:rFonts w:eastAsia="Times" w:cs="Arial"/>
                <w:sz w:val="22"/>
                <w:szCs w:val="22"/>
              </w:rPr>
            </w:pPr>
            <w:r w:rsidRPr="00E2328F">
              <w:rPr>
                <w:rFonts w:eastAsia="Times" w:cs="Arial"/>
                <w:sz w:val="22"/>
                <w:szCs w:val="22"/>
              </w:rPr>
              <w:t>No es preveu cap càrrega per als ciutadans ni les empreses.</w:t>
            </w:r>
          </w:p>
          <w:p w:rsidR="00F557AB" w:rsidRPr="00E2328F" w:rsidRDefault="00F557AB" w:rsidP="00467A36">
            <w:pPr>
              <w:pStyle w:val="Prrafodelista"/>
              <w:jc w:val="both"/>
              <w:rPr>
                <w:rFonts w:eastAsia="Times" w:cs="Arial"/>
                <w:sz w:val="22"/>
                <w:szCs w:val="22"/>
              </w:rPr>
            </w:pPr>
          </w:p>
          <w:p w:rsidR="00F557AB" w:rsidRPr="00E2328F" w:rsidRDefault="00F557AB" w:rsidP="00467A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" w:cs="Arial"/>
                <w:sz w:val="22"/>
                <w:szCs w:val="22"/>
              </w:rPr>
            </w:pPr>
            <w:r w:rsidRPr="00E2328F">
              <w:rPr>
                <w:rFonts w:eastAsia="Times" w:cs="Arial"/>
                <w:sz w:val="22"/>
                <w:szCs w:val="22"/>
              </w:rPr>
              <w:t>Impactes econòmics, socials o ambientals relle</w:t>
            </w:r>
            <w:r w:rsidR="00797432" w:rsidRPr="00E2328F">
              <w:rPr>
                <w:rFonts w:eastAsia="Times" w:cs="Arial"/>
                <w:sz w:val="22"/>
                <w:szCs w:val="22"/>
              </w:rPr>
              <w:t>vants que no s’hagin valorat en els</w:t>
            </w:r>
            <w:r w:rsidRPr="00E2328F">
              <w:rPr>
                <w:rFonts w:eastAsia="Times" w:cs="Arial"/>
                <w:sz w:val="22"/>
                <w:szCs w:val="22"/>
              </w:rPr>
              <w:t xml:space="preserve"> apartats anteriors.</w:t>
            </w:r>
          </w:p>
          <w:p w:rsidR="003E2BBE" w:rsidRPr="00E2328F" w:rsidRDefault="00E50505" w:rsidP="003E2BBE">
            <w:pPr>
              <w:pStyle w:val="Prrafodelista"/>
              <w:ind w:left="1080"/>
              <w:jc w:val="both"/>
              <w:rPr>
                <w:rFonts w:eastAsia="Times" w:cs="Arial"/>
                <w:sz w:val="22"/>
                <w:szCs w:val="22"/>
              </w:rPr>
            </w:pPr>
            <w:r w:rsidRPr="00E2328F">
              <w:rPr>
                <w:rFonts w:eastAsia="Times" w:cs="Arial"/>
                <w:sz w:val="22"/>
                <w:szCs w:val="22"/>
              </w:rPr>
              <w:t xml:space="preserve">Es </w:t>
            </w:r>
            <w:r w:rsidR="00823330" w:rsidRPr="00E2328F">
              <w:rPr>
                <w:rFonts w:eastAsia="Times" w:cs="Arial"/>
                <w:sz w:val="22"/>
                <w:szCs w:val="22"/>
              </w:rPr>
              <w:t>cerca</w:t>
            </w:r>
            <w:r w:rsidR="003E2BBE" w:rsidRPr="00E2328F">
              <w:rPr>
                <w:rFonts w:eastAsia="Times" w:cs="Arial"/>
                <w:sz w:val="22"/>
                <w:szCs w:val="22"/>
              </w:rPr>
              <w:t xml:space="preserve"> un</w:t>
            </w:r>
            <w:r w:rsidR="002F7585" w:rsidRPr="00E2328F">
              <w:rPr>
                <w:rFonts w:eastAsia="Times" w:cs="Arial"/>
                <w:sz w:val="22"/>
                <w:szCs w:val="22"/>
              </w:rPr>
              <w:t>a millora en la qualitat del servei que estan prestant actualment els vigilants municipals alhora que també es busca un</w:t>
            </w:r>
            <w:r w:rsidR="003E2BBE" w:rsidRPr="00E2328F">
              <w:rPr>
                <w:rFonts w:eastAsia="Times" w:cs="Arial"/>
                <w:sz w:val="22"/>
                <w:szCs w:val="22"/>
              </w:rPr>
              <w:t xml:space="preserve"> increment de confiança de la ciutadania respecte </w:t>
            </w:r>
            <w:r w:rsidRPr="00E2328F">
              <w:rPr>
                <w:rFonts w:eastAsia="Times" w:cs="Arial"/>
                <w:sz w:val="22"/>
                <w:szCs w:val="22"/>
              </w:rPr>
              <w:t>d’aquest col·lectiu, una de les funcions del qual és participar en les tasques d’auxili al ciutadà i protecció civil.</w:t>
            </w:r>
          </w:p>
          <w:p w:rsidR="003E2BBE" w:rsidRPr="00E2328F" w:rsidRDefault="003E2BBE" w:rsidP="003E2BBE">
            <w:pPr>
              <w:pStyle w:val="Prrafodelista"/>
              <w:ind w:left="1080"/>
              <w:jc w:val="both"/>
              <w:rPr>
                <w:rFonts w:eastAsia="Times" w:cs="Arial"/>
                <w:sz w:val="22"/>
                <w:szCs w:val="22"/>
              </w:rPr>
            </w:pPr>
          </w:p>
        </w:tc>
      </w:tr>
      <w:tr w:rsidR="008A0BA5" w:rsidRPr="008A0BA5" w:rsidTr="006F6FBB">
        <w:trPr>
          <w:gridAfter w:val="1"/>
          <w:wAfter w:w="20" w:type="pct"/>
        </w:trPr>
        <w:tc>
          <w:tcPr>
            <w:tcW w:w="406" w:type="pct"/>
            <w:shd w:val="clear" w:color="auto" w:fill="DEEAF6"/>
          </w:tcPr>
          <w:p w:rsidR="00D357E7" w:rsidRPr="008A0BA5" w:rsidRDefault="00D357E7" w:rsidP="00437EB9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  <w:p w:rsidR="00D357E7" w:rsidRPr="008A0BA5" w:rsidRDefault="00D357E7" w:rsidP="00437EB9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  <w:r w:rsidRPr="008A0BA5">
              <w:rPr>
                <w:rFonts w:eastAsia="Times" w:cs="Arial"/>
                <w:b/>
                <w:sz w:val="22"/>
                <w:szCs w:val="22"/>
              </w:rPr>
              <w:t>5.</w:t>
            </w:r>
          </w:p>
        </w:tc>
        <w:tc>
          <w:tcPr>
            <w:tcW w:w="4575" w:type="pct"/>
            <w:shd w:val="clear" w:color="auto" w:fill="DEEAF6"/>
          </w:tcPr>
          <w:p w:rsidR="00D357E7" w:rsidRPr="008A0BA5" w:rsidRDefault="00D357E7" w:rsidP="00D357E7">
            <w:pPr>
              <w:jc w:val="both"/>
              <w:rPr>
                <w:rFonts w:cs="Arial"/>
                <w:b/>
                <w:bCs/>
                <w:sz w:val="22"/>
                <w:szCs w:val="22"/>
                <w:lang w:eastAsia="ca-ES"/>
              </w:rPr>
            </w:pPr>
            <w:r w:rsidRPr="008A0BA5">
              <w:rPr>
                <w:rFonts w:cs="Arial"/>
                <w:b/>
                <w:bCs/>
                <w:sz w:val="22"/>
                <w:szCs w:val="22"/>
                <w:lang w:eastAsia="ca-ES"/>
              </w:rPr>
              <w:t>La procedència d’efectuar una consulta pública prèvia o bé la justificació de les excepcions que hi puguin concórrer, així com la valoració de la necessitat d’emprar, en el seu cas, altres eines i canals de participació complementaris a la publicació al Portal de la Transparència</w:t>
            </w:r>
          </w:p>
          <w:p w:rsidR="00D357E7" w:rsidRPr="008A0BA5" w:rsidRDefault="00D357E7" w:rsidP="00437EB9">
            <w:pPr>
              <w:jc w:val="both"/>
              <w:rPr>
                <w:rFonts w:eastAsia="Times" w:cs="Arial"/>
                <w:b/>
                <w:sz w:val="22"/>
                <w:szCs w:val="22"/>
              </w:rPr>
            </w:pPr>
          </w:p>
        </w:tc>
      </w:tr>
      <w:tr w:rsidR="00D357E7" w:rsidRPr="008A0BA5" w:rsidTr="006F6FBB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:rsidR="00D357E7" w:rsidRPr="00582B91" w:rsidRDefault="00D357E7" w:rsidP="00437EB9">
            <w:pPr>
              <w:pStyle w:val="Prrafodelista"/>
              <w:jc w:val="both"/>
              <w:rPr>
                <w:rFonts w:eastAsia="Times" w:cs="Arial"/>
                <w:sz w:val="22"/>
                <w:szCs w:val="22"/>
              </w:rPr>
            </w:pPr>
          </w:p>
          <w:p w:rsidR="00A05BFF" w:rsidRPr="008A0BA5" w:rsidRDefault="00E2328F" w:rsidP="00A05BFF">
            <w:pPr>
              <w:jc w:val="both"/>
              <w:rPr>
                <w:rFonts w:eastAsia="Times" w:cs="Arial"/>
                <w:sz w:val="22"/>
                <w:szCs w:val="22"/>
              </w:rPr>
            </w:pPr>
            <w:r>
              <w:rPr>
                <w:rFonts w:eastAsia="Times" w:cs="Arial"/>
                <w:sz w:val="22"/>
                <w:szCs w:val="22"/>
              </w:rPr>
              <w:t>No es preveuen canals de participació complementaris a la publicació al Portal de Transparència</w:t>
            </w:r>
          </w:p>
          <w:p w:rsidR="00D357E7" w:rsidRPr="008A0BA5" w:rsidRDefault="00D357E7" w:rsidP="00437EB9">
            <w:pPr>
              <w:pStyle w:val="Prrafodelista"/>
              <w:ind w:left="1080"/>
              <w:jc w:val="both"/>
              <w:rPr>
                <w:rFonts w:eastAsia="Times" w:cs="Arial"/>
                <w:sz w:val="22"/>
                <w:szCs w:val="22"/>
              </w:rPr>
            </w:pPr>
          </w:p>
        </w:tc>
      </w:tr>
    </w:tbl>
    <w:p w:rsidR="00F557AB" w:rsidRDefault="00F557AB" w:rsidP="00475279">
      <w:pPr>
        <w:jc w:val="both"/>
        <w:rPr>
          <w:rFonts w:eastAsia="Calibri" w:cs="Arial"/>
          <w:bCs/>
          <w:sz w:val="22"/>
          <w:szCs w:val="22"/>
          <w:lang w:eastAsia="en-US"/>
        </w:rPr>
      </w:pPr>
    </w:p>
    <w:sectPr w:rsidR="00F55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5CF"/>
    <w:multiLevelType w:val="hybridMultilevel"/>
    <w:tmpl w:val="9724E370"/>
    <w:lvl w:ilvl="0" w:tplc="858496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2A67"/>
    <w:multiLevelType w:val="hybridMultilevel"/>
    <w:tmpl w:val="3C96AE98"/>
    <w:lvl w:ilvl="0" w:tplc="296C5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D4F5F"/>
    <w:multiLevelType w:val="hybridMultilevel"/>
    <w:tmpl w:val="AF3E8F54"/>
    <w:lvl w:ilvl="0" w:tplc="0ACC92C2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33B2C"/>
    <w:multiLevelType w:val="hybridMultilevel"/>
    <w:tmpl w:val="1362074E"/>
    <w:lvl w:ilvl="0" w:tplc="41C6B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F0A0C"/>
    <w:multiLevelType w:val="hybridMultilevel"/>
    <w:tmpl w:val="5A4465DE"/>
    <w:lvl w:ilvl="0" w:tplc="0D4C7BC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0EEF"/>
    <w:multiLevelType w:val="hybridMultilevel"/>
    <w:tmpl w:val="88BAC0D6"/>
    <w:lvl w:ilvl="0" w:tplc="2B6880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343AA"/>
    <w:multiLevelType w:val="hybridMultilevel"/>
    <w:tmpl w:val="E56276FC"/>
    <w:lvl w:ilvl="0" w:tplc="3FAAC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0DCC"/>
    <w:multiLevelType w:val="hybridMultilevel"/>
    <w:tmpl w:val="0F685B3E"/>
    <w:lvl w:ilvl="0" w:tplc="58EA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7809"/>
    <w:multiLevelType w:val="hybridMultilevel"/>
    <w:tmpl w:val="78282A20"/>
    <w:lvl w:ilvl="0" w:tplc="040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E445C"/>
    <w:multiLevelType w:val="hybridMultilevel"/>
    <w:tmpl w:val="78282A20"/>
    <w:lvl w:ilvl="0" w:tplc="040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40E92"/>
    <w:multiLevelType w:val="hybridMultilevel"/>
    <w:tmpl w:val="3C96AE98"/>
    <w:lvl w:ilvl="0" w:tplc="296C5D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8" w:hanging="360"/>
      </w:pPr>
    </w:lvl>
    <w:lvl w:ilvl="2" w:tplc="0403001B" w:tentative="1">
      <w:start w:val="1"/>
      <w:numFmt w:val="lowerRoman"/>
      <w:lvlText w:val="%3."/>
      <w:lvlJc w:val="right"/>
      <w:pPr>
        <w:ind w:left="2368" w:hanging="180"/>
      </w:pPr>
    </w:lvl>
    <w:lvl w:ilvl="3" w:tplc="0403000F" w:tentative="1">
      <w:start w:val="1"/>
      <w:numFmt w:val="decimal"/>
      <w:lvlText w:val="%4."/>
      <w:lvlJc w:val="left"/>
      <w:pPr>
        <w:ind w:left="3088" w:hanging="360"/>
      </w:pPr>
    </w:lvl>
    <w:lvl w:ilvl="4" w:tplc="04030019" w:tentative="1">
      <w:start w:val="1"/>
      <w:numFmt w:val="lowerLetter"/>
      <w:lvlText w:val="%5."/>
      <w:lvlJc w:val="left"/>
      <w:pPr>
        <w:ind w:left="3808" w:hanging="360"/>
      </w:pPr>
    </w:lvl>
    <w:lvl w:ilvl="5" w:tplc="0403001B" w:tentative="1">
      <w:start w:val="1"/>
      <w:numFmt w:val="lowerRoman"/>
      <w:lvlText w:val="%6."/>
      <w:lvlJc w:val="right"/>
      <w:pPr>
        <w:ind w:left="4528" w:hanging="180"/>
      </w:pPr>
    </w:lvl>
    <w:lvl w:ilvl="6" w:tplc="0403000F" w:tentative="1">
      <w:start w:val="1"/>
      <w:numFmt w:val="decimal"/>
      <w:lvlText w:val="%7."/>
      <w:lvlJc w:val="left"/>
      <w:pPr>
        <w:ind w:left="5248" w:hanging="360"/>
      </w:pPr>
    </w:lvl>
    <w:lvl w:ilvl="7" w:tplc="04030019" w:tentative="1">
      <w:start w:val="1"/>
      <w:numFmt w:val="lowerLetter"/>
      <w:lvlText w:val="%8."/>
      <w:lvlJc w:val="left"/>
      <w:pPr>
        <w:ind w:left="5968" w:hanging="360"/>
      </w:pPr>
    </w:lvl>
    <w:lvl w:ilvl="8" w:tplc="0403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BA"/>
    <w:rsid w:val="0000752B"/>
    <w:rsid w:val="00013930"/>
    <w:rsid w:val="00027377"/>
    <w:rsid w:val="000654E8"/>
    <w:rsid w:val="00066D4A"/>
    <w:rsid w:val="000A38A9"/>
    <w:rsid w:val="000B5938"/>
    <w:rsid w:val="00137112"/>
    <w:rsid w:val="001418A0"/>
    <w:rsid w:val="0014519B"/>
    <w:rsid w:val="00182E1F"/>
    <w:rsid w:val="001977D9"/>
    <w:rsid w:val="001B3A23"/>
    <w:rsid w:val="00231CCA"/>
    <w:rsid w:val="00254371"/>
    <w:rsid w:val="00287135"/>
    <w:rsid w:val="00287E2D"/>
    <w:rsid w:val="00293493"/>
    <w:rsid w:val="002C24F5"/>
    <w:rsid w:val="002F7585"/>
    <w:rsid w:val="00335FA0"/>
    <w:rsid w:val="00341FD9"/>
    <w:rsid w:val="003D3627"/>
    <w:rsid w:val="003E18B8"/>
    <w:rsid w:val="003E2BBE"/>
    <w:rsid w:val="003F7575"/>
    <w:rsid w:val="00413CC0"/>
    <w:rsid w:val="00435DD3"/>
    <w:rsid w:val="00467A36"/>
    <w:rsid w:val="00475279"/>
    <w:rsid w:val="0049781C"/>
    <w:rsid w:val="00511A58"/>
    <w:rsid w:val="00527F74"/>
    <w:rsid w:val="00582B91"/>
    <w:rsid w:val="005B5FA2"/>
    <w:rsid w:val="006317FB"/>
    <w:rsid w:val="0064401C"/>
    <w:rsid w:val="006610AD"/>
    <w:rsid w:val="006F6FBB"/>
    <w:rsid w:val="00700977"/>
    <w:rsid w:val="007407B1"/>
    <w:rsid w:val="00740E29"/>
    <w:rsid w:val="0074704B"/>
    <w:rsid w:val="00770595"/>
    <w:rsid w:val="00797432"/>
    <w:rsid w:val="00797F9C"/>
    <w:rsid w:val="007C612F"/>
    <w:rsid w:val="007D618E"/>
    <w:rsid w:val="007E70D7"/>
    <w:rsid w:val="00823330"/>
    <w:rsid w:val="00830F9E"/>
    <w:rsid w:val="0086181D"/>
    <w:rsid w:val="00862531"/>
    <w:rsid w:val="00890218"/>
    <w:rsid w:val="008A0BA5"/>
    <w:rsid w:val="00911309"/>
    <w:rsid w:val="00926A85"/>
    <w:rsid w:val="00935088"/>
    <w:rsid w:val="009406FE"/>
    <w:rsid w:val="00957EB3"/>
    <w:rsid w:val="00971314"/>
    <w:rsid w:val="00994186"/>
    <w:rsid w:val="009A49E6"/>
    <w:rsid w:val="009F76AA"/>
    <w:rsid w:val="00A05BFF"/>
    <w:rsid w:val="00A40AE8"/>
    <w:rsid w:val="00A665AD"/>
    <w:rsid w:val="00A7541D"/>
    <w:rsid w:val="00B11120"/>
    <w:rsid w:val="00B336C2"/>
    <w:rsid w:val="00B44703"/>
    <w:rsid w:val="00B521BA"/>
    <w:rsid w:val="00B56403"/>
    <w:rsid w:val="00B74F53"/>
    <w:rsid w:val="00B776B9"/>
    <w:rsid w:val="00B84EF7"/>
    <w:rsid w:val="00BD3C41"/>
    <w:rsid w:val="00C3335E"/>
    <w:rsid w:val="00C567BE"/>
    <w:rsid w:val="00C95863"/>
    <w:rsid w:val="00CA222B"/>
    <w:rsid w:val="00CC34C1"/>
    <w:rsid w:val="00D053BB"/>
    <w:rsid w:val="00D357E7"/>
    <w:rsid w:val="00D36625"/>
    <w:rsid w:val="00D37609"/>
    <w:rsid w:val="00D4406F"/>
    <w:rsid w:val="00D63D29"/>
    <w:rsid w:val="00DA54D2"/>
    <w:rsid w:val="00DC4D00"/>
    <w:rsid w:val="00DF5257"/>
    <w:rsid w:val="00E000FE"/>
    <w:rsid w:val="00E2328F"/>
    <w:rsid w:val="00E50505"/>
    <w:rsid w:val="00E96887"/>
    <w:rsid w:val="00F557AB"/>
    <w:rsid w:val="00F56431"/>
    <w:rsid w:val="00F5679D"/>
    <w:rsid w:val="00F727AC"/>
    <w:rsid w:val="00F9238B"/>
    <w:rsid w:val="00F92F77"/>
    <w:rsid w:val="00FA7405"/>
    <w:rsid w:val="00F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76C5-5DC7-4474-9C07-14E2F9A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000F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E000FE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4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49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Cartaña Nicolas, Raquel</dc:creator>
  <cp:keywords/>
  <dc:description/>
  <cp:lastModifiedBy>Begonya Curto Ferré</cp:lastModifiedBy>
  <cp:revision>2</cp:revision>
  <dcterms:created xsi:type="dcterms:W3CDTF">2024-02-21T05:26:00Z</dcterms:created>
  <dcterms:modified xsi:type="dcterms:W3CDTF">2024-02-21T05:26:00Z</dcterms:modified>
</cp:coreProperties>
</file>