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AD83D3" w14:textId="42BD94EC" w:rsidR="00CC5EA7" w:rsidRPr="00E43F78" w:rsidRDefault="00CC5EA7" w:rsidP="000779E3">
      <w:pPr>
        <w:pStyle w:val="Ttol1"/>
        <w:rPr>
          <w:rFonts w:asciiTheme="minorHAnsi" w:hAnsiTheme="minorHAnsi" w:cstheme="minorHAnsi"/>
          <w:color w:val="auto"/>
          <w:lang w:val="es-ES_tradnl"/>
        </w:rPr>
      </w:pPr>
      <w:r w:rsidRPr="00E43F78">
        <w:rPr>
          <w:rFonts w:asciiTheme="minorHAnsi" w:hAnsiTheme="minorHAnsi" w:cstheme="minorHAnsi"/>
          <w:color w:val="auto"/>
          <w:lang w:val="es-ES_tradnl"/>
        </w:rPr>
        <w:t xml:space="preserve">EJE </w:t>
      </w:r>
      <w:r w:rsidR="00BD2689" w:rsidRPr="00E43F78">
        <w:rPr>
          <w:rFonts w:asciiTheme="minorHAnsi" w:hAnsiTheme="minorHAnsi" w:cstheme="minorHAnsi"/>
          <w:color w:val="auto"/>
          <w:lang w:val="es-ES_tradnl"/>
        </w:rPr>
        <w:t>1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: </w:t>
      </w:r>
      <w:r w:rsidR="00BD2689" w:rsidRPr="00E43F78">
        <w:rPr>
          <w:rFonts w:asciiTheme="minorHAnsi" w:hAnsiTheme="minorHAnsi" w:cstheme="minorHAnsi"/>
          <w:color w:val="auto"/>
          <w:lang w:val="es-ES_tradnl"/>
        </w:rPr>
        <w:t xml:space="preserve">OPCIONES DE </w:t>
      </w:r>
      <w:r w:rsidR="0082772D" w:rsidRPr="00E43F78">
        <w:rPr>
          <w:rFonts w:asciiTheme="minorHAnsi" w:hAnsiTheme="minorHAnsi" w:cstheme="minorHAnsi"/>
          <w:color w:val="auto"/>
          <w:lang w:val="es-ES_tradnl"/>
        </w:rPr>
        <w:t>TRAYECTORIAS DE REDUCCIÓN DE LA DEUDA</w:t>
      </w:r>
    </w:p>
    <w:p w14:paraId="758DA10C" w14:textId="5F997FA2" w:rsidR="002E32A7" w:rsidRPr="00E43F78" w:rsidRDefault="00E24A7D" w:rsidP="000779E3">
      <w:pPr>
        <w:rPr>
          <w:rFonts w:asciiTheme="minorHAnsi" w:hAnsiTheme="minorHAnsi" w:cstheme="minorHAnsi"/>
          <w:color w:val="auto"/>
          <w:lang w:val="es-ES_tradnl"/>
        </w:rPr>
      </w:pPr>
      <w:r w:rsidRPr="00E43F78">
        <w:rPr>
          <w:rFonts w:asciiTheme="minorHAnsi" w:hAnsiTheme="minorHAnsi" w:cstheme="minorHAnsi"/>
          <w:color w:val="auto"/>
          <w:lang w:val="es-ES_tradnl"/>
        </w:rPr>
        <w:t>Proceso de</w:t>
      </w:r>
      <w:r w:rsidR="0000683A" w:rsidRPr="00E43F78">
        <w:rPr>
          <w:rFonts w:asciiTheme="minorHAnsi" w:hAnsiTheme="minorHAnsi" w:cstheme="minorHAnsi"/>
          <w:color w:val="auto"/>
          <w:lang w:val="es-ES_tradnl"/>
        </w:rPr>
        <w:t xml:space="preserve"> participación sobre </w:t>
      </w:r>
      <w:r w:rsidR="006534B0" w:rsidRPr="00E43F78">
        <w:rPr>
          <w:rFonts w:asciiTheme="minorHAnsi" w:hAnsiTheme="minorHAnsi" w:cstheme="minorHAnsi"/>
          <w:color w:val="auto"/>
          <w:lang w:val="es-ES_tradnl"/>
        </w:rPr>
        <w:t>política presupuestaria</w:t>
      </w:r>
    </w:p>
    <w:p w14:paraId="6404A01D" w14:textId="72E140B3" w:rsidR="006534B0" w:rsidRPr="00E43F78" w:rsidRDefault="006534B0" w:rsidP="000779E3">
      <w:pPr>
        <w:rPr>
          <w:rFonts w:asciiTheme="minorHAnsi" w:hAnsiTheme="minorHAnsi" w:cstheme="minorHAnsi"/>
          <w:i/>
          <w:color w:val="auto"/>
          <w:lang w:val="es-ES_tradnl"/>
        </w:rPr>
      </w:pPr>
      <w:r w:rsidRPr="00E43F78">
        <w:rPr>
          <w:rFonts w:asciiTheme="minorHAnsi" w:hAnsiTheme="minorHAnsi" w:cstheme="minorHAnsi"/>
          <w:i/>
          <w:color w:val="auto"/>
          <w:lang w:val="es-ES_tradnl"/>
        </w:rPr>
        <w:t>Hablamos de presupuestos</w:t>
      </w:r>
      <w:r w:rsidR="006D47EE" w:rsidRPr="00E43F78">
        <w:rPr>
          <w:rFonts w:asciiTheme="minorHAnsi" w:hAnsiTheme="minorHAnsi" w:cstheme="minorHAnsi"/>
          <w:i/>
          <w:color w:val="auto"/>
          <w:lang w:val="es-ES_tradnl"/>
        </w:rPr>
        <w:t xml:space="preserve"> (edición 2024)</w:t>
      </w:r>
    </w:p>
    <w:p w14:paraId="30294EBC" w14:textId="6B64991F" w:rsidR="002E32A7" w:rsidRPr="00E43F78" w:rsidRDefault="00A204EE" w:rsidP="000779E3">
      <w:pPr>
        <w:rPr>
          <w:rStyle w:val="Enlla"/>
          <w:rFonts w:asciiTheme="minorHAnsi" w:hAnsiTheme="minorHAnsi" w:cstheme="minorHAnsi"/>
          <w:color w:val="auto"/>
          <w:lang w:val="es-ES_tradnl"/>
        </w:rPr>
        <w:sectPr w:rsidR="002E32A7" w:rsidRPr="00E43F78" w:rsidSect="00386460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2835" w:right="1134" w:bottom="1985" w:left="1701" w:header="709" w:footer="567" w:gutter="0"/>
          <w:cols w:space="708"/>
          <w:titlePg/>
          <w:docGrid w:linePitch="360"/>
        </w:sectPr>
      </w:pPr>
      <w:r w:rsidRPr="00E43F78">
        <w:rPr>
          <w:color w:val="auto"/>
          <w:lang w:val="es-ES_tradnl"/>
        </w:rPr>
        <w:fldChar w:fldCharType="begin"/>
      </w:r>
      <w:r w:rsidRPr="00E43F78">
        <w:rPr>
          <w:color w:val="auto"/>
          <w:lang w:val="es-ES_tradnl"/>
        </w:rPr>
        <w:instrText xml:space="preserve"> HYPERLINK "https://participa.gencat.cat/processes/politicapressupostaria%0c" </w:instrText>
      </w:r>
      <w:r w:rsidRPr="00E43F78">
        <w:rPr>
          <w:color w:val="auto"/>
          <w:lang w:val="es-ES_tradnl"/>
        </w:rPr>
      </w:r>
      <w:r w:rsidRPr="00E43F78">
        <w:rPr>
          <w:color w:val="auto"/>
          <w:lang w:val="es-ES_tradnl"/>
        </w:rPr>
        <w:fldChar w:fldCharType="separate"/>
      </w:r>
      <w:r w:rsidRPr="00E43F78">
        <w:rPr>
          <w:rStyle w:val="Enlla"/>
          <w:color w:val="auto"/>
          <w:lang w:val="es-ES_tradnl"/>
        </w:rPr>
        <w:t>https://participa.gencat.cat/processes/politicapressupostaria</w:t>
      </w:r>
    </w:p>
    <w:p w14:paraId="09367867" w14:textId="42E9584D" w:rsidR="00B97A16" w:rsidRPr="00E43F78" w:rsidRDefault="00A204EE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b/>
          <w:color w:val="auto"/>
          <w:sz w:val="32"/>
          <w:szCs w:val="32"/>
          <w:lang w:val="es-ES_tradnl"/>
        </w:rPr>
      </w:pPr>
      <w:r w:rsidRPr="00E43F78">
        <w:rPr>
          <w:b/>
          <w:color w:val="auto"/>
          <w:lang w:val="es-ES_tradnl"/>
        </w:rPr>
        <w:lastRenderedPageBreak/>
        <w:fldChar w:fldCharType="end"/>
      </w:r>
      <w:r w:rsidR="00B97A16" w:rsidRPr="00E43F78">
        <w:rPr>
          <w:rFonts w:asciiTheme="minorHAnsi" w:hAnsiTheme="minorHAnsi" w:cstheme="minorHAnsi"/>
          <w:b/>
          <w:color w:val="auto"/>
          <w:sz w:val="32"/>
          <w:szCs w:val="32"/>
          <w:lang w:val="es-ES_tradnl"/>
        </w:rPr>
        <w:t>Explicación del eje</w:t>
      </w:r>
    </w:p>
    <w:p w14:paraId="7D5C421F" w14:textId="29966BD9" w:rsidR="00B97A16" w:rsidRPr="00E43F78" w:rsidRDefault="00B97A16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color w:val="auto"/>
          <w:lang w:val="es-ES_tradnl"/>
        </w:rPr>
      </w:pPr>
      <w:r w:rsidRPr="00E43F78">
        <w:rPr>
          <w:rFonts w:asciiTheme="minorHAnsi" w:hAnsiTheme="minorHAnsi" w:cstheme="minorHAnsi"/>
          <w:color w:val="auto"/>
          <w:lang w:val="es-ES_tradnl"/>
        </w:rPr>
        <w:t xml:space="preserve">La Generalitat de Catalunya tiene actualmente un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elevado nivel de endeudamiento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,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mayor que el de la media de las comunidades autónomas y superior a los valores de referencia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 de acuerdo con la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normativa de estabilidad presupuestaria y sostenibilidad financiera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. El caso de la Generalitat no es un caso aislado y actualmente gran parte de los gobiernos de los países desarrollados muestran niveles de endeudamiento superiores a los de las anteriores décadas. Ante este hecho, varios organismos internacionales, </w:t>
      </w:r>
      <w:r w:rsidR="002C704A" w:rsidRPr="00E43F78">
        <w:rPr>
          <w:rFonts w:asciiTheme="minorHAnsi" w:hAnsiTheme="minorHAnsi" w:cstheme="minorHAnsi"/>
          <w:color w:val="auto"/>
          <w:lang w:val="es-ES_tradnl"/>
        </w:rPr>
        <w:t>instituciones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 fiscales independientes, así</w:t>
      </w:r>
      <w:r w:rsidR="002C704A" w:rsidRPr="00E43F78">
        <w:rPr>
          <w:rFonts w:asciiTheme="minorHAnsi" w:hAnsiTheme="minorHAnsi" w:cstheme="minorHAnsi"/>
          <w:color w:val="auto"/>
          <w:lang w:val="es-ES_tradnl"/>
        </w:rPr>
        <w:t xml:space="preserve"> como 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los correspondientes gobiernos, han puesto de manifiesto la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necesidad de ir reduciendo estos niveles de deuda para poder tener mayor capacidad para hacer frente los importantes retos que se prevén en los próximos años.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 </w:t>
      </w:r>
    </w:p>
    <w:p w14:paraId="5761A156" w14:textId="77777777" w:rsidR="00B97A16" w:rsidRPr="00E43F78" w:rsidRDefault="00B97A16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b/>
          <w:color w:val="auto"/>
          <w:lang w:val="es-ES_tradnl"/>
        </w:rPr>
      </w:pPr>
      <w:r w:rsidRPr="00E43F78">
        <w:rPr>
          <w:rFonts w:asciiTheme="minorHAnsi" w:hAnsiTheme="minorHAnsi" w:cstheme="minorHAnsi"/>
          <w:b/>
          <w:color w:val="auto"/>
          <w:lang w:val="es-ES_tradnl"/>
        </w:rPr>
        <w:t>¿Pero por qué puede ser un problema para una administración pública el hecho de tener un elevado nivel de deuda?</w:t>
      </w:r>
    </w:p>
    <w:p w14:paraId="577746AB" w14:textId="77777777" w:rsidR="00B97A16" w:rsidRPr="00E43F78" w:rsidRDefault="00B97A16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color w:val="auto"/>
          <w:lang w:val="es-ES_tradnl"/>
        </w:rPr>
      </w:pPr>
      <w:r w:rsidRPr="00E43F78">
        <w:rPr>
          <w:rFonts w:asciiTheme="minorHAnsi" w:hAnsiTheme="minorHAnsi" w:cstheme="minorHAnsi"/>
          <w:color w:val="auto"/>
          <w:lang w:val="es-ES_tradnl"/>
        </w:rPr>
        <w:t xml:space="preserve">Un primer aspecto es la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mayor dificultad en alcanzar los valores de objetivos de deuda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 fijados por la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normativa en estabilidad presupuestaria y sostenibilidad financiera</w:t>
      </w:r>
      <w:r w:rsidRPr="00E43F78">
        <w:rPr>
          <w:rFonts w:asciiTheme="minorHAnsi" w:hAnsiTheme="minorHAnsi" w:cstheme="minorHAnsi"/>
          <w:color w:val="auto"/>
          <w:lang w:val="es-ES_tradnl"/>
        </w:rPr>
        <w:t>, y, por lo tanto, en no cumplir con esta normativa.</w:t>
      </w:r>
    </w:p>
    <w:p w14:paraId="15DEF394" w14:textId="6BA5150B" w:rsidR="00B97A16" w:rsidRPr="00E43F78" w:rsidRDefault="00B97A16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color w:val="auto"/>
          <w:lang w:val="es-ES_tradnl"/>
        </w:rPr>
      </w:pPr>
      <w:r w:rsidRPr="00E43F78">
        <w:rPr>
          <w:rFonts w:asciiTheme="minorHAnsi" w:hAnsiTheme="minorHAnsi" w:cstheme="minorHAnsi"/>
          <w:color w:val="auto"/>
          <w:lang w:val="es-ES_tradnl"/>
        </w:rPr>
        <w:t xml:space="preserve">Por otro lado, un elevado nivel de endeudamiento significa que la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 xml:space="preserve">carga de hacer frente a esta deuda 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(principalmente su retorno y el pago de intereses), que ha servido para financiar actuaciones pasadas y presentes,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se traslada a generaciones futuras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, generando consecuentemente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inequi</w:t>
      </w:r>
      <w:r w:rsidR="002C704A" w:rsidRPr="00E43F78">
        <w:rPr>
          <w:rFonts w:asciiTheme="minorHAnsi" w:hAnsiTheme="minorHAnsi" w:cstheme="minorHAnsi"/>
          <w:b/>
          <w:color w:val="auto"/>
          <w:lang w:val="es-ES_tradnl"/>
        </w:rPr>
        <w:t>dad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 xml:space="preserve"> intergeneracional</w:t>
      </w:r>
      <w:r w:rsidRPr="00E43F78">
        <w:rPr>
          <w:rFonts w:asciiTheme="minorHAnsi" w:hAnsiTheme="minorHAnsi" w:cstheme="minorHAnsi"/>
          <w:color w:val="auto"/>
          <w:lang w:val="es-ES_tradnl"/>
        </w:rPr>
        <w:t>.</w:t>
      </w:r>
    </w:p>
    <w:p w14:paraId="253325FF" w14:textId="2583B9A4" w:rsidR="00B97A16" w:rsidRPr="00E43F78" w:rsidRDefault="00B97A16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color w:val="auto"/>
          <w:lang w:val="es-ES_tradnl"/>
        </w:rPr>
      </w:pPr>
      <w:r w:rsidRPr="00E43F78">
        <w:rPr>
          <w:rFonts w:asciiTheme="minorHAnsi" w:hAnsiTheme="minorHAnsi" w:cstheme="minorHAnsi"/>
          <w:color w:val="auto"/>
          <w:lang w:val="es-ES_tradnl"/>
        </w:rPr>
        <w:t xml:space="preserve">Otro aspecto muy relevante es </w:t>
      </w:r>
      <w:r w:rsidR="002C704A" w:rsidRPr="00E43F78">
        <w:rPr>
          <w:rFonts w:asciiTheme="minorHAnsi" w:hAnsiTheme="minorHAnsi" w:cstheme="minorHAnsi"/>
          <w:color w:val="auto"/>
          <w:lang w:val="es-ES_tradnl"/>
        </w:rPr>
        <w:t>que,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 si se llega a volúmenes elevados de endeudamiento, y este no se reduce,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cada vez se acaban dedicando más parte de los ingresos recibidos a pagar intereses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 y no para financiar políticas de gasto, como salud, educación, servicios de protección social, </w:t>
      </w:r>
      <w:r w:rsidR="00790E41" w:rsidRPr="00E43F78">
        <w:rPr>
          <w:rFonts w:asciiTheme="minorHAnsi" w:hAnsiTheme="minorHAnsi" w:cstheme="minorHAnsi"/>
          <w:color w:val="auto"/>
          <w:lang w:val="es-ES_tradnl"/>
        </w:rPr>
        <w:t>empleo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 o transportes públicos. Es decir, que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los intereses se “comen” parte del gasto que iría a diferentes políticas relevantes para la ciudadanía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. Eso, mantenido a lo largo del tiempo, puede suponer destacados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riesgos para la sostenibilidad financiera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, y, por lo tanto, de su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continuidad, de los niveles de prestación de servicios actuales de las políticas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 de que es competente la correspondiente administración.</w:t>
      </w:r>
    </w:p>
    <w:p w14:paraId="36456813" w14:textId="31B9394A" w:rsidR="00B97A16" w:rsidRPr="00E43F78" w:rsidRDefault="00B97A16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color w:val="auto"/>
          <w:lang w:val="es-ES_tradnl"/>
        </w:rPr>
      </w:pPr>
      <w:r w:rsidRPr="00E43F78">
        <w:rPr>
          <w:rFonts w:asciiTheme="minorHAnsi" w:hAnsiTheme="minorHAnsi" w:cstheme="minorHAnsi"/>
          <w:color w:val="auto"/>
          <w:lang w:val="es-ES_tradnl"/>
        </w:rPr>
        <w:t xml:space="preserve">Eso es especialmente relevante si se van alcanzando cada vez mayores niveles de deuda, ya que cada vez, no solamente estos serán mayores en términos absolutos, sino que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cada vez la deuda será más cara en términos relativos, con mayores tipos de intereses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 aplicados al ser percibida aquella administración como de “mayor riesgo”. Este hecho, </w:t>
      </w:r>
      <w:r w:rsidR="00790E41" w:rsidRPr="00E43F78">
        <w:rPr>
          <w:rFonts w:asciiTheme="minorHAnsi" w:hAnsiTheme="minorHAnsi" w:cstheme="minorHAnsi"/>
          <w:color w:val="auto"/>
          <w:lang w:val="es-ES_tradnl"/>
        </w:rPr>
        <w:t>llevado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 a situaciones más extremas, puede suponer importantes dificultades para financiar las operaciones de la correspondiente administración, y, por lo tanto, de sus políticas.</w:t>
      </w:r>
    </w:p>
    <w:p w14:paraId="1FB682D6" w14:textId="03457305" w:rsidR="00B97A16" w:rsidRPr="00E43F78" w:rsidRDefault="00B97A16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color w:val="auto"/>
          <w:lang w:val="es-ES_tradnl"/>
        </w:rPr>
      </w:pPr>
      <w:r w:rsidRPr="00E43F78">
        <w:rPr>
          <w:rFonts w:asciiTheme="minorHAnsi" w:hAnsiTheme="minorHAnsi" w:cstheme="minorHAnsi"/>
          <w:color w:val="auto"/>
          <w:lang w:val="es-ES_tradnl"/>
        </w:rPr>
        <w:t xml:space="preserve">Asimismo, aquellas administraciones públicas que presentan niveles elevados de </w:t>
      </w:r>
      <w:r w:rsidR="00790E41" w:rsidRPr="00E43F78">
        <w:rPr>
          <w:rFonts w:asciiTheme="minorHAnsi" w:hAnsiTheme="minorHAnsi" w:cstheme="minorHAnsi"/>
          <w:color w:val="auto"/>
          <w:lang w:val="es-ES_tradnl"/>
        </w:rPr>
        <w:t>deuda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 tienen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 xml:space="preserve">menor margen o se encuentran más limitadas para poder hacer déficit en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lastRenderedPageBreak/>
        <w:t>épocas de recesión económica o ante casos excepcionales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 (como ahora una pandemia), </w:t>
      </w:r>
      <w:r w:rsidR="002E5E17" w:rsidRPr="00E43F78">
        <w:rPr>
          <w:rFonts w:asciiTheme="minorHAnsi" w:hAnsiTheme="minorHAnsi" w:cstheme="minorHAnsi"/>
          <w:color w:val="auto"/>
          <w:lang w:val="es-ES_tradnl"/>
        </w:rPr>
        <w:t>y,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 por lo tanto, para financiar gastos necesarios en estas circunstancias.  Eso quiere decir que tener niveles moderados de deuda ocurre un</w:t>
      </w:r>
      <w:r w:rsidR="002E5E17" w:rsidRPr="00E43F78">
        <w:rPr>
          <w:rFonts w:asciiTheme="minorHAnsi" w:hAnsiTheme="minorHAnsi" w:cstheme="minorHAnsi"/>
          <w:color w:val="auto"/>
          <w:lang w:val="es-ES_tradnl"/>
        </w:rPr>
        <w:t xml:space="preserve"> cojín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 para poder hacer déficit, y por lo tanto acumular deuda, en aquellos periodos puntuales donde es necesaria una importante intervención del gasto público (por ejemplo, planes de choque sociales, </w:t>
      </w:r>
      <w:r w:rsidR="002E5E17" w:rsidRPr="00E43F78">
        <w:rPr>
          <w:rFonts w:asciiTheme="minorHAnsi" w:hAnsiTheme="minorHAnsi" w:cstheme="minorHAnsi"/>
          <w:color w:val="auto"/>
          <w:lang w:val="es-ES_tradnl"/>
        </w:rPr>
        <w:t>apoyo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 a la creación o mantenimiento de puestos de trabajo...). </w:t>
      </w:r>
    </w:p>
    <w:p w14:paraId="37C60EBB" w14:textId="77777777" w:rsidR="00B97A16" w:rsidRPr="00E43F78" w:rsidRDefault="00B97A16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color w:val="auto"/>
          <w:lang w:val="es-ES_tradnl"/>
        </w:rPr>
      </w:pPr>
      <w:r w:rsidRPr="00E43F78">
        <w:rPr>
          <w:rFonts w:asciiTheme="minorHAnsi" w:hAnsiTheme="minorHAnsi" w:cstheme="minorHAnsi"/>
          <w:color w:val="auto"/>
          <w:lang w:val="es-ES_tradnl"/>
        </w:rPr>
        <w:t xml:space="preserve">Todas estas cuestiones son muy relevantes, y más teniendo en cuenta que habrá que estar preparado para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hacer frente a los retos futuros, o incluso ya actuales, del envejecimiento de la población y, especialmente, los asociados al cambio climático</w:t>
      </w:r>
      <w:r w:rsidRPr="00E43F78">
        <w:rPr>
          <w:rFonts w:asciiTheme="minorHAnsi" w:hAnsiTheme="minorHAnsi" w:cstheme="minorHAnsi"/>
          <w:color w:val="auto"/>
          <w:lang w:val="es-ES_tradnl"/>
        </w:rPr>
        <w:t>. Poder alcanzar volúmenes más moderados de deuda facilita a las administraciones públicas tener más margen y capacidad para poder financiar aquellas iniciativas que puedan contribuir en mayor medida a fe frente a estos retos.</w:t>
      </w:r>
    </w:p>
    <w:p w14:paraId="442FDE3F" w14:textId="77777777" w:rsidR="00B97A16" w:rsidRPr="00E43F78" w:rsidRDefault="00B97A16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color w:val="auto"/>
          <w:lang w:val="es-ES_tradnl"/>
        </w:rPr>
      </w:pPr>
      <w:r w:rsidRPr="00E43F78">
        <w:rPr>
          <w:rFonts w:asciiTheme="minorHAnsi" w:hAnsiTheme="minorHAnsi" w:cstheme="minorHAnsi"/>
          <w:color w:val="auto"/>
          <w:lang w:val="es-ES_tradnl"/>
        </w:rPr>
        <w:t xml:space="preserve">De acuerdo con los motivos expuestos,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es importante para la Generalitat de Catalunya reducir su nivel de endeudamiento, con el fin de alcanzar valores más moderados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. Para alcanzar este hito,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puede haber múltiples estrategias o trayectorias de reducción de la deuda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.  </w:t>
      </w:r>
    </w:p>
    <w:p w14:paraId="2CCF357F" w14:textId="12FD5909" w:rsidR="00DF6677" w:rsidRPr="00E43F78" w:rsidRDefault="00B97A16" w:rsidP="000779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color w:val="auto"/>
          <w:lang w:val="es-ES_tradnl"/>
        </w:rPr>
      </w:pPr>
      <w:r w:rsidRPr="00E43F78">
        <w:rPr>
          <w:rFonts w:asciiTheme="minorHAnsi" w:hAnsiTheme="minorHAnsi" w:cstheme="minorHAnsi"/>
          <w:color w:val="auto"/>
          <w:lang w:val="es-ES_tradnl"/>
        </w:rPr>
        <w:t xml:space="preserve">El objeto de este eje de debate es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 xml:space="preserve">discutir hacia las diferentes opciones de trayectorias de reducción de la deuda 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que se plantean, con el fin de poder manifestar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qué opciones pueden ser las más preferidas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 por parte de los participando en este eje, y de esta manera, ser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consideradas dentro del marco de planificación de las finanzas públicas de la Generalitat</w:t>
      </w:r>
      <w:r w:rsidRPr="00E43F78">
        <w:rPr>
          <w:rFonts w:asciiTheme="minorHAnsi" w:hAnsiTheme="minorHAnsi" w:cstheme="minorHAnsi"/>
          <w:color w:val="auto"/>
          <w:lang w:val="es-ES_tradnl"/>
        </w:rPr>
        <w:t>.</w:t>
      </w:r>
    </w:p>
    <w:p w14:paraId="47581EC0" w14:textId="20E18205" w:rsidR="007D3B35" w:rsidRPr="00E43F78" w:rsidRDefault="007D3B35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color w:val="auto"/>
          <w:lang w:val="es-ES_tradnl"/>
        </w:rPr>
      </w:pPr>
    </w:p>
    <w:p w14:paraId="17AE442E" w14:textId="47459C2F" w:rsidR="007D3B35" w:rsidRPr="00E43F78" w:rsidRDefault="007D3B35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b/>
          <w:color w:val="auto"/>
          <w:sz w:val="32"/>
          <w:szCs w:val="32"/>
          <w:lang w:val="es-ES_tradnl"/>
        </w:rPr>
      </w:pPr>
      <w:r w:rsidRPr="00E43F78">
        <w:rPr>
          <w:rFonts w:asciiTheme="minorHAnsi" w:hAnsiTheme="minorHAnsi" w:cstheme="minorHAnsi"/>
          <w:b/>
          <w:color w:val="auto"/>
          <w:sz w:val="32"/>
          <w:szCs w:val="32"/>
          <w:lang w:val="es-ES_tradnl"/>
        </w:rPr>
        <w:t>¿A qué decisiones presupuestarias dará apoyo este eje de debate?</w:t>
      </w:r>
    </w:p>
    <w:p w14:paraId="54859DCD" w14:textId="5437E505" w:rsidR="007D3B35" w:rsidRPr="00E43F78" w:rsidRDefault="004E5485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color w:val="auto"/>
          <w:lang w:val="es-ES_tradnl"/>
        </w:rPr>
      </w:pPr>
      <w:r w:rsidRPr="00E43F78">
        <w:rPr>
          <w:rFonts w:asciiTheme="minorHAnsi" w:hAnsiTheme="minorHAnsi" w:cstheme="minorHAnsi"/>
          <w:color w:val="auto"/>
          <w:lang w:val="es-ES_tradnl"/>
        </w:rPr>
        <w:t>Los resultados obtenidos en este eje de debate en los diferentes canales de participaci</w:t>
      </w:r>
      <w:r w:rsidR="000E6AEA" w:rsidRPr="00E43F78">
        <w:rPr>
          <w:rFonts w:asciiTheme="minorHAnsi" w:hAnsiTheme="minorHAnsi" w:cstheme="minorHAnsi"/>
          <w:color w:val="auto"/>
          <w:lang w:val="es-ES_tradnl"/>
        </w:rPr>
        <w:t xml:space="preserve">ón servirán para </w:t>
      </w:r>
      <w:r w:rsidR="000E6AEA" w:rsidRPr="00E43F78">
        <w:rPr>
          <w:rFonts w:asciiTheme="minorHAnsi" w:hAnsiTheme="minorHAnsi" w:cstheme="minorHAnsi"/>
          <w:b/>
          <w:color w:val="auto"/>
          <w:lang w:val="es-ES_tradnl"/>
        </w:rPr>
        <w:t>informar la toma de decisiones relativas a la definición de la estrategia fiscal</w:t>
      </w:r>
      <w:r w:rsidR="000E6AEA" w:rsidRPr="00E43F78">
        <w:rPr>
          <w:rFonts w:asciiTheme="minorHAnsi" w:hAnsiTheme="minorHAnsi" w:cstheme="minorHAnsi"/>
          <w:color w:val="auto"/>
          <w:lang w:val="es-ES_tradnl"/>
        </w:rPr>
        <w:t xml:space="preserve"> de la Generalitat de Catalunya, la cual se plasma en el denominado </w:t>
      </w:r>
      <w:r w:rsidR="000E6AEA" w:rsidRPr="00E43F78">
        <w:rPr>
          <w:rFonts w:asciiTheme="minorHAnsi" w:hAnsiTheme="minorHAnsi" w:cstheme="minorHAnsi"/>
          <w:b/>
          <w:color w:val="auto"/>
          <w:lang w:val="es-ES_tradnl"/>
        </w:rPr>
        <w:t>marco fiscal a medio plazo</w:t>
      </w:r>
      <w:r w:rsidR="000E6AEA" w:rsidRPr="00E43F78">
        <w:rPr>
          <w:rFonts w:asciiTheme="minorHAnsi" w:hAnsiTheme="minorHAnsi" w:cstheme="minorHAnsi"/>
          <w:color w:val="auto"/>
          <w:lang w:val="es-ES_tradnl"/>
        </w:rPr>
        <w:t xml:space="preserve">. Este marco fiscal determina los objetivos financieros/fiscales a alcanzar, cumpliendo con la normativa de estabilidad y sostenibilidad presupuestaria que esté vigente. Por lo tanto, las decisiones </w:t>
      </w:r>
      <w:r w:rsidR="007B2E7A" w:rsidRPr="00E43F78">
        <w:rPr>
          <w:rFonts w:asciiTheme="minorHAnsi" w:hAnsiTheme="minorHAnsi" w:cstheme="minorHAnsi"/>
          <w:color w:val="auto"/>
          <w:lang w:val="es-ES_tradnl"/>
        </w:rPr>
        <w:t xml:space="preserve">que se tomen en este ámbito, </w:t>
      </w:r>
      <w:r w:rsidR="000E6AEA" w:rsidRPr="00E43F78">
        <w:rPr>
          <w:rFonts w:asciiTheme="minorHAnsi" w:hAnsiTheme="minorHAnsi" w:cstheme="minorHAnsi"/>
          <w:color w:val="auto"/>
          <w:lang w:val="es-ES_tradnl"/>
        </w:rPr>
        <w:t xml:space="preserve">considerando la información recogida por el proceso participativo, podrán </w:t>
      </w:r>
      <w:r w:rsidR="000E6AEA" w:rsidRPr="00E43F78">
        <w:rPr>
          <w:rFonts w:asciiTheme="minorHAnsi" w:hAnsiTheme="minorHAnsi" w:cstheme="minorHAnsi"/>
          <w:b/>
          <w:color w:val="auto"/>
          <w:lang w:val="es-ES_tradnl"/>
        </w:rPr>
        <w:t>incidir en la definición del mencionado marco fiscal a medio plazo</w:t>
      </w:r>
      <w:r w:rsidR="000E6AEA" w:rsidRPr="00E43F78">
        <w:rPr>
          <w:rFonts w:asciiTheme="minorHAnsi" w:hAnsiTheme="minorHAnsi" w:cstheme="minorHAnsi"/>
          <w:color w:val="auto"/>
          <w:lang w:val="es-ES_tradnl"/>
        </w:rPr>
        <w:t xml:space="preserve">, y, consecuentemente, en el </w:t>
      </w:r>
      <w:r w:rsidR="000E6AEA" w:rsidRPr="00E43F78">
        <w:rPr>
          <w:rFonts w:asciiTheme="minorHAnsi" w:hAnsiTheme="minorHAnsi" w:cstheme="minorHAnsi"/>
          <w:b/>
          <w:color w:val="auto"/>
          <w:lang w:val="es-ES_tradnl"/>
        </w:rPr>
        <w:t>marco presupuestario a medio plazo y en los presupuestos anuales</w:t>
      </w:r>
      <w:r w:rsidR="000E6AEA" w:rsidRPr="00E43F78">
        <w:rPr>
          <w:rFonts w:asciiTheme="minorHAnsi" w:hAnsiTheme="minorHAnsi" w:cstheme="minorHAnsi"/>
          <w:color w:val="auto"/>
          <w:lang w:val="es-ES_tradnl"/>
        </w:rPr>
        <w:t xml:space="preserve"> comprendidos, </w:t>
      </w:r>
      <w:r w:rsidR="007B2E7A" w:rsidRPr="00E43F78">
        <w:rPr>
          <w:rFonts w:asciiTheme="minorHAnsi" w:hAnsiTheme="minorHAnsi" w:cstheme="minorHAnsi"/>
          <w:color w:val="auto"/>
          <w:lang w:val="es-ES_tradnl"/>
        </w:rPr>
        <w:t xml:space="preserve">afectando entre otros, el </w:t>
      </w:r>
      <w:r w:rsidR="007B2E7A" w:rsidRPr="00E43F78">
        <w:rPr>
          <w:rFonts w:asciiTheme="minorHAnsi" w:hAnsiTheme="minorHAnsi" w:cstheme="minorHAnsi"/>
          <w:b/>
          <w:color w:val="auto"/>
          <w:lang w:val="es-ES_tradnl"/>
        </w:rPr>
        <w:t>máximo de gasto a ser presupuestada</w:t>
      </w:r>
      <w:r w:rsidR="007B2E7A" w:rsidRPr="00E43F78">
        <w:rPr>
          <w:rFonts w:asciiTheme="minorHAnsi" w:hAnsiTheme="minorHAnsi" w:cstheme="minorHAnsi"/>
          <w:color w:val="auto"/>
          <w:lang w:val="es-ES_tradnl"/>
        </w:rPr>
        <w:t xml:space="preserve"> (</w:t>
      </w:r>
      <w:r w:rsidR="002E5E17" w:rsidRPr="00E43F78">
        <w:rPr>
          <w:rFonts w:asciiTheme="minorHAnsi" w:hAnsiTheme="minorHAnsi" w:cstheme="minorHAnsi"/>
          <w:color w:val="auto"/>
          <w:lang w:val="es-ES_tradnl"/>
        </w:rPr>
        <w:t>llamado</w:t>
      </w:r>
      <w:r w:rsidR="007B2E7A" w:rsidRPr="00E43F78">
        <w:rPr>
          <w:rFonts w:asciiTheme="minorHAnsi" w:hAnsiTheme="minorHAnsi" w:cstheme="minorHAnsi"/>
          <w:color w:val="auto"/>
          <w:lang w:val="es-ES_tradnl"/>
        </w:rPr>
        <w:t xml:space="preserve"> techo o límite de gasto).</w:t>
      </w:r>
    </w:p>
    <w:p w14:paraId="78F409CF" w14:textId="15EC35A2" w:rsidR="007D3B35" w:rsidRPr="00E43F78" w:rsidRDefault="00A04C93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b/>
          <w:color w:val="auto"/>
          <w:sz w:val="32"/>
          <w:szCs w:val="32"/>
          <w:lang w:val="es-ES_tradnl"/>
        </w:rPr>
      </w:pPr>
      <w:r w:rsidRPr="00E43F78">
        <w:rPr>
          <w:rFonts w:asciiTheme="minorHAnsi" w:hAnsiTheme="minorHAnsi" w:cstheme="minorHAnsi"/>
          <w:b/>
          <w:noProof/>
          <w:color w:val="auto"/>
          <w:sz w:val="32"/>
          <w:szCs w:val="32"/>
          <w:lang w:val="es-ES_tradnl"/>
        </w:rPr>
        <w:lastRenderedPageBreak/>
        <w:drawing>
          <wp:inline distT="0" distB="0" distL="0" distR="0" wp14:anchorId="01DD062B" wp14:editId="3F8A40B1">
            <wp:extent cx="5314950" cy="3396687"/>
            <wp:effectExtent l="19050" t="19050" r="19050" b="13335"/>
            <wp:docPr id="8" name="Imatge 8" descr="Diagrama de elaboración de un presupu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tge 8" descr="Diagrama de elaboración de un presupuest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205" cy="34045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67FCF7" w14:textId="77777777" w:rsidR="00010A3C" w:rsidRPr="00E43F78" w:rsidRDefault="00010A3C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b/>
          <w:color w:val="auto"/>
          <w:sz w:val="32"/>
          <w:szCs w:val="32"/>
          <w:lang w:val="es-ES_tradnl"/>
        </w:rPr>
      </w:pPr>
    </w:p>
    <w:p w14:paraId="153EF685" w14:textId="464F687A" w:rsidR="00DF6677" w:rsidRPr="00E43F78" w:rsidRDefault="00DF6677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b/>
          <w:color w:val="auto"/>
          <w:sz w:val="32"/>
          <w:szCs w:val="32"/>
          <w:lang w:val="es-ES_tradnl"/>
        </w:rPr>
      </w:pPr>
      <w:r w:rsidRPr="00E43F78">
        <w:rPr>
          <w:rFonts w:asciiTheme="minorHAnsi" w:hAnsiTheme="minorHAnsi" w:cstheme="minorHAnsi"/>
          <w:b/>
          <w:color w:val="auto"/>
          <w:sz w:val="32"/>
          <w:szCs w:val="32"/>
          <w:lang w:val="es-ES_tradnl"/>
        </w:rPr>
        <w:t>Situación actual</w:t>
      </w:r>
    </w:p>
    <w:p w14:paraId="53E678DA" w14:textId="141DED7B" w:rsidR="00C13256" w:rsidRPr="00E43F78" w:rsidRDefault="00C13256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color w:val="auto"/>
          <w:lang w:val="es-ES_tradnl"/>
        </w:rPr>
      </w:pPr>
      <w:r w:rsidRPr="00E43F78">
        <w:rPr>
          <w:rFonts w:asciiTheme="minorHAnsi" w:hAnsiTheme="minorHAnsi" w:cstheme="minorHAnsi"/>
          <w:color w:val="auto"/>
          <w:lang w:val="es-ES_tradnl"/>
        </w:rPr>
        <w:t xml:space="preserve">La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deuda del conjunto del sector público de la Generalitat de Catalunya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 (es decir, el de la Generalitat más sus entidades adscritas), </w:t>
      </w:r>
      <w:r w:rsidR="003052C0" w:rsidRPr="00E43F78">
        <w:rPr>
          <w:rFonts w:asciiTheme="minorHAnsi" w:hAnsiTheme="minorHAnsi" w:cstheme="minorHAnsi"/>
          <w:b/>
          <w:color w:val="auto"/>
          <w:lang w:val="es-ES_tradnl"/>
        </w:rPr>
        <w:t>hasta 31 de diciembre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 xml:space="preserve"> </w:t>
      </w:r>
      <w:r w:rsidR="003052C0" w:rsidRPr="00E43F78">
        <w:rPr>
          <w:rFonts w:asciiTheme="minorHAnsi" w:hAnsiTheme="minorHAnsi" w:cstheme="minorHAnsi"/>
          <w:b/>
          <w:color w:val="auto"/>
          <w:lang w:val="es-ES_tradnl"/>
        </w:rPr>
        <w:t xml:space="preserve">del año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2023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, de acuerdo con los términos del protocolo de déficit excesivo, es de </w:t>
      </w:r>
      <w:r w:rsidR="003052C0" w:rsidRPr="00E43F78">
        <w:rPr>
          <w:rFonts w:asciiTheme="minorHAnsi" w:hAnsiTheme="minorHAnsi" w:cstheme="minorHAnsi"/>
          <w:b/>
          <w:color w:val="auto"/>
          <w:lang w:val="es-ES_tradnl"/>
        </w:rPr>
        <w:t xml:space="preserve">85.986 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millones de euros, que equivale al </w:t>
      </w:r>
      <w:r w:rsidR="003052C0" w:rsidRPr="00E43F78">
        <w:rPr>
          <w:rFonts w:asciiTheme="minorHAnsi" w:hAnsiTheme="minorHAnsi" w:cstheme="minorHAnsi"/>
          <w:b/>
          <w:color w:val="auto"/>
          <w:lang w:val="es-ES_tradnl"/>
        </w:rPr>
        <w:t>31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% del PIB de Cataluña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. Este nivel de deuda es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superior al de la media de las comunidades autónomas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 (22,3%) y al del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valor de referencia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 indicado en la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normativa de estabilidad presupuestaria y sostenibilidad financiera (13%)</w:t>
      </w:r>
      <w:r w:rsidRPr="00E43F78">
        <w:rPr>
          <w:rFonts w:asciiTheme="minorHAnsi" w:hAnsiTheme="minorHAnsi" w:cstheme="minorHAnsi"/>
          <w:color w:val="auto"/>
          <w:lang w:val="es-ES_tradnl"/>
        </w:rPr>
        <w:t>.</w:t>
      </w:r>
    </w:p>
    <w:p w14:paraId="4BB71E75" w14:textId="77777777" w:rsidR="00C13256" w:rsidRPr="00E43F78" w:rsidRDefault="00C13256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color w:val="auto"/>
          <w:lang w:val="es-ES_tradnl"/>
        </w:rPr>
      </w:pPr>
      <w:r w:rsidRPr="00E43F78">
        <w:rPr>
          <w:rFonts w:asciiTheme="minorHAnsi" w:hAnsiTheme="minorHAnsi" w:cstheme="minorHAnsi"/>
          <w:color w:val="auto"/>
          <w:lang w:val="es-ES_tradnl"/>
        </w:rPr>
        <w:t xml:space="preserve">En el periodo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entre el 1995 y 2007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, la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deuda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 del conjunto del sector público de la Generalitat de Catalunya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se movió en torno al 8% del PIB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, pero a raíz del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estallido de la crisis económica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 del 2008/2009, y la realización de i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mportantes déficits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, la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deuda creció muy rápidamente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 hasta alcanzar un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valor del 30% en el 2013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. El ritmo de crecimiento de la deuda se desaceleró de manera muy importante, y durante el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periodo 2014-2022 la deuda se ha estancado y ha oscilado en torno al 33%-35% del PIB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, a pesar de la existencia de algunos periodos de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ligera reducción en esta ratio (2017-2019 y 2021-2022)</w:t>
      </w:r>
      <w:r w:rsidRPr="00E43F78">
        <w:rPr>
          <w:rFonts w:asciiTheme="minorHAnsi" w:hAnsiTheme="minorHAnsi" w:cstheme="minorHAnsi"/>
          <w:color w:val="auto"/>
          <w:lang w:val="es-ES_tradnl"/>
        </w:rPr>
        <w:t>, especialmente gracias al crecimiento de la economía.</w:t>
      </w:r>
    </w:p>
    <w:p w14:paraId="4B18517C" w14:textId="5A27947B" w:rsidR="00C13256" w:rsidRPr="00E43F78" w:rsidRDefault="00C13256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color w:val="auto"/>
          <w:lang w:val="es-ES_tradnl"/>
        </w:rPr>
      </w:pPr>
      <w:r w:rsidRPr="00E43F78">
        <w:rPr>
          <w:rFonts w:asciiTheme="minorHAnsi" w:hAnsiTheme="minorHAnsi" w:cstheme="minorHAnsi"/>
          <w:color w:val="auto"/>
          <w:lang w:val="es-ES_tradnl"/>
        </w:rPr>
        <w:t xml:space="preserve">La magnitud de la actual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deuda equivale a más de 10.000 euros por habitante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 y, para c</w:t>
      </w:r>
      <w:r w:rsidR="003052C0" w:rsidRPr="00E43F78">
        <w:rPr>
          <w:rFonts w:asciiTheme="minorHAnsi" w:hAnsiTheme="minorHAnsi" w:cstheme="minorHAnsi"/>
          <w:color w:val="auto"/>
          <w:lang w:val="es-ES_tradnl"/>
        </w:rPr>
        <w:t>onsiderarla en términos relativos,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supone más de 2,5 veces los ingresos corrientes anuales de la Generalitat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. Es decir, si se quisiera devolver toda la deuda de golpe, sería </w:t>
      </w:r>
      <w:r w:rsidRPr="00E43F78">
        <w:rPr>
          <w:rFonts w:asciiTheme="minorHAnsi" w:hAnsiTheme="minorHAnsi" w:cstheme="minorHAnsi"/>
          <w:color w:val="auto"/>
          <w:lang w:val="es-ES_tradnl"/>
        </w:rPr>
        <w:lastRenderedPageBreak/>
        <w:t xml:space="preserve">equivalente a dedicar todos los ingresos durante 2 años y medio, sin dedicar ningún euro a las políticas de gasto que es competente (salud, educación, servicios sociales, transportes, seguridad...). </w:t>
      </w:r>
    </w:p>
    <w:p w14:paraId="7EFAD9DC" w14:textId="7DEB868F" w:rsidR="00C13256" w:rsidRPr="00E43F78" w:rsidRDefault="00C13256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color w:val="auto"/>
          <w:lang w:val="es-ES_tradnl"/>
        </w:rPr>
      </w:pPr>
      <w:r w:rsidRPr="00E43F78">
        <w:rPr>
          <w:rFonts w:asciiTheme="minorHAnsi" w:hAnsiTheme="minorHAnsi" w:cstheme="minorHAnsi"/>
          <w:color w:val="auto"/>
          <w:lang w:val="es-ES_tradnl"/>
        </w:rPr>
        <w:t xml:space="preserve">Como se ha mencionado anteriormente,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este nivel de endeudamiento se considera como elevado y hace falta que la Generalitat de Catalunya reduzca su deuda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 con el fin de evitar los mencionados problemas asociados a un elevado nivel de deuda y poder hacer frente a los retos futuros con una mejor posición.</w:t>
      </w:r>
    </w:p>
    <w:p w14:paraId="4F96249E" w14:textId="77777777" w:rsidR="007D3B35" w:rsidRPr="00E43F78" w:rsidRDefault="007D3B35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color w:val="auto"/>
          <w:lang w:val="es-ES_tradnl"/>
        </w:rPr>
      </w:pPr>
    </w:p>
    <w:p w14:paraId="0B27E5C8" w14:textId="77777777" w:rsidR="00C13256" w:rsidRPr="00E43F78" w:rsidRDefault="00C13256" w:rsidP="000779E3">
      <w:pPr>
        <w:spacing w:before="120" w:after="120"/>
        <w:rPr>
          <w:rFonts w:asciiTheme="minorHAnsi" w:hAnsiTheme="minorHAnsi" w:cstheme="minorHAnsi"/>
          <w:b/>
          <w:bCs/>
          <w:color w:val="auto"/>
          <w:lang w:val="es-ES_tradnl"/>
        </w:rPr>
      </w:pPr>
      <w:r w:rsidRPr="00E43F78">
        <w:rPr>
          <w:rFonts w:asciiTheme="minorHAnsi" w:hAnsiTheme="minorHAnsi" w:cstheme="minorHAnsi"/>
          <w:b/>
          <w:bCs/>
          <w:color w:val="auto"/>
          <w:lang w:val="es-ES_tradnl"/>
        </w:rPr>
        <w:t>Principales cifras a destacar:</w:t>
      </w:r>
    </w:p>
    <w:p w14:paraId="14A6D4D1" w14:textId="7F7D8D33" w:rsidR="00C13256" w:rsidRPr="00E43F78" w:rsidRDefault="00C13256" w:rsidP="000779E3">
      <w:pPr>
        <w:pStyle w:val="Pargrafdellista"/>
        <w:numPr>
          <w:ilvl w:val="0"/>
          <w:numId w:val="24"/>
        </w:numPr>
        <w:shd w:val="clear" w:color="auto" w:fill="auto"/>
        <w:spacing w:before="120" w:after="120" w:line="240" w:lineRule="auto"/>
        <w:contextualSpacing w:val="0"/>
        <w:rPr>
          <w:rFonts w:asciiTheme="minorHAnsi" w:hAnsiTheme="minorHAnsi" w:cstheme="minorHAnsi"/>
          <w:color w:val="auto"/>
          <w:sz w:val="21"/>
          <w:szCs w:val="21"/>
          <w:lang w:val="es-ES_tradnl"/>
        </w:rPr>
      </w:pPr>
      <w:r w:rsidRPr="00E43F78">
        <w:rPr>
          <w:rFonts w:asciiTheme="minorHAnsi" w:hAnsiTheme="minorHAnsi" w:cstheme="minorHAnsi"/>
          <w:color w:val="auto"/>
          <w:sz w:val="21"/>
          <w:szCs w:val="21"/>
          <w:lang w:val="es-ES_tradnl"/>
        </w:rPr>
        <w:t xml:space="preserve">La deuda del sector público de la Generalitat de Catalunya, de acuerdo con los términos de la normativa de estabilidad presupuestaria, se sitúa </w:t>
      </w:r>
      <w:r w:rsidR="003052C0" w:rsidRPr="00E43F78">
        <w:rPr>
          <w:rFonts w:asciiTheme="minorHAnsi" w:hAnsiTheme="minorHAnsi" w:cstheme="minorHAnsi"/>
          <w:color w:val="auto"/>
          <w:sz w:val="21"/>
          <w:szCs w:val="21"/>
          <w:lang w:val="es-ES_tradnl"/>
        </w:rPr>
        <w:t xml:space="preserve">a 31 de diciembre </w:t>
      </w:r>
      <w:r w:rsidR="008A1564" w:rsidRPr="00E43F78">
        <w:rPr>
          <w:rFonts w:asciiTheme="minorHAnsi" w:hAnsiTheme="minorHAnsi" w:cstheme="minorHAnsi"/>
          <w:color w:val="auto"/>
          <w:sz w:val="21"/>
          <w:szCs w:val="21"/>
          <w:lang w:val="es-ES_tradnl"/>
        </w:rPr>
        <w:t>del 2023</w:t>
      </w:r>
      <w:r w:rsidRPr="00E43F78">
        <w:rPr>
          <w:rFonts w:asciiTheme="minorHAnsi" w:hAnsiTheme="minorHAnsi" w:cstheme="minorHAnsi"/>
          <w:color w:val="auto"/>
          <w:sz w:val="21"/>
          <w:szCs w:val="21"/>
          <w:lang w:val="es-ES_tradnl"/>
        </w:rPr>
        <w:t xml:space="preserve"> en </w:t>
      </w:r>
      <w:r w:rsidR="003052C0" w:rsidRPr="00E43F78">
        <w:rPr>
          <w:rFonts w:asciiTheme="minorHAnsi" w:hAnsiTheme="minorHAnsi" w:cstheme="minorHAnsi"/>
          <w:b/>
          <w:color w:val="auto"/>
          <w:sz w:val="21"/>
          <w:szCs w:val="21"/>
          <w:lang w:val="es-ES_tradnl"/>
        </w:rPr>
        <w:t xml:space="preserve">85.986 </w:t>
      </w:r>
      <w:r w:rsidRPr="00E43F78">
        <w:rPr>
          <w:rFonts w:asciiTheme="minorHAnsi" w:hAnsiTheme="minorHAnsi" w:cstheme="minorHAnsi"/>
          <w:b/>
          <w:color w:val="auto"/>
          <w:sz w:val="21"/>
          <w:szCs w:val="21"/>
          <w:lang w:val="es-ES_tradnl"/>
        </w:rPr>
        <w:t xml:space="preserve">millones de euros, </w:t>
      </w:r>
      <w:r w:rsidR="003052C0" w:rsidRPr="00E43F78">
        <w:rPr>
          <w:rFonts w:asciiTheme="minorHAnsi" w:hAnsiTheme="minorHAnsi" w:cstheme="minorHAnsi"/>
          <w:b/>
          <w:color w:val="auto"/>
          <w:sz w:val="21"/>
          <w:szCs w:val="21"/>
          <w:lang w:val="es-ES_tradnl"/>
        </w:rPr>
        <w:t>un 31</w:t>
      </w:r>
      <w:r w:rsidRPr="00E43F78">
        <w:rPr>
          <w:rFonts w:asciiTheme="minorHAnsi" w:hAnsiTheme="minorHAnsi" w:cstheme="minorHAnsi"/>
          <w:b/>
          <w:color w:val="auto"/>
          <w:sz w:val="21"/>
          <w:szCs w:val="21"/>
          <w:lang w:val="es-ES_tradnl"/>
        </w:rPr>
        <w:t>% del PIB de Cataluña</w:t>
      </w:r>
      <w:r w:rsidRPr="00E43F78">
        <w:rPr>
          <w:rFonts w:asciiTheme="minorHAnsi" w:hAnsiTheme="minorHAnsi" w:cstheme="minorHAnsi"/>
          <w:color w:val="auto"/>
          <w:sz w:val="21"/>
          <w:szCs w:val="21"/>
          <w:lang w:val="es-ES_tradnl"/>
        </w:rPr>
        <w:t>.</w:t>
      </w:r>
    </w:p>
    <w:p w14:paraId="5F3F2161" w14:textId="59957CC8" w:rsidR="00C13256" w:rsidRPr="00E43F78" w:rsidRDefault="00C13256" w:rsidP="000779E3">
      <w:pPr>
        <w:pStyle w:val="Pargrafdellista"/>
        <w:numPr>
          <w:ilvl w:val="0"/>
          <w:numId w:val="24"/>
        </w:numPr>
        <w:shd w:val="clear" w:color="auto" w:fill="auto"/>
        <w:spacing w:before="120" w:after="120" w:line="240" w:lineRule="auto"/>
        <w:contextualSpacing w:val="0"/>
        <w:rPr>
          <w:rFonts w:asciiTheme="minorHAnsi" w:hAnsiTheme="minorHAnsi" w:cstheme="minorHAnsi"/>
          <w:color w:val="auto"/>
          <w:sz w:val="21"/>
          <w:szCs w:val="21"/>
          <w:lang w:val="es-ES_tradnl"/>
        </w:rPr>
      </w:pPr>
      <w:r w:rsidRPr="00E43F78">
        <w:rPr>
          <w:rFonts w:asciiTheme="minorHAnsi" w:hAnsiTheme="minorHAnsi" w:cstheme="minorHAnsi"/>
          <w:color w:val="auto"/>
          <w:sz w:val="21"/>
          <w:szCs w:val="21"/>
          <w:lang w:val="es-ES_tradnl"/>
        </w:rPr>
        <w:t xml:space="preserve">La </w:t>
      </w:r>
      <w:r w:rsidRPr="00E43F78">
        <w:rPr>
          <w:rFonts w:asciiTheme="minorHAnsi" w:hAnsiTheme="minorHAnsi" w:cstheme="minorHAnsi"/>
          <w:b/>
          <w:color w:val="auto"/>
          <w:sz w:val="21"/>
          <w:szCs w:val="21"/>
          <w:lang w:val="es-ES_tradnl"/>
        </w:rPr>
        <w:t>deuda ha pasado de un 8</w:t>
      </w:r>
      <w:r w:rsidR="003052C0" w:rsidRPr="00E43F78">
        <w:rPr>
          <w:rFonts w:asciiTheme="minorHAnsi" w:hAnsiTheme="minorHAnsi" w:cstheme="minorHAnsi"/>
          <w:b/>
          <w:color w:val="auto"/>
          <w:sz w:val="21"/>
          <w:szCs w:val="21"/>
          <w:lang w:val="es-ES_tradnl"/>
        </w:rPr>
        <w:t>% del PIB al 2007 al 31</w:t>
      </w:r>
      <w:r w:rsidRPr="00E43F78">
        <w:rPr>
          <w:rFonts w:asciiTheme="minorHAnsi" w:hAnsiTheme="minorHAnsi" w:cstheme="minorHAnsi"/>
          <w:b/>
          <w:color w:val="auto"/>
          <w:sz w:val="21"/>
          <w:szCs w:val="21"/>
          <w:lang w:val="es-ES_tradnl"/>
        </w:rPr>
        <w:t>% actual</w:t>
      </w:r>
      <w:r w:rsidRPr="00E43F78">
        <w:rPr>
          <w:rFonts w:asciiTheme="minorHAnsi" w:hAnsiTheme="minorHAnsi" w:cstheme="minorHAnsi"/>
          <w:color w:val="auto"/>
          <w:sz w:val="21"/>
          <w:szCs w:val="21"/>
          <w:lang w:val="es-ES_tradnl"/>
        </w:rPr>
        <w:t>. Desde el 2014, la deuda se sitúa</w:t>
      </w:r>
      <w:r w:rsidR="003052C0" w:rsidRPr="00E43F78">
        <w:rPr>
          <w:rFonts w:asciiTheme="minorHAnsi" w:hAnsiTheme="minorHAnsi" w:cstheme="minorHAnsi"/>
          <w:color w:val="auto"/>
          <w:sz w:val="21"/>
          <w:szCs w:val="21"/>
          <w:lang w:val="es-ES_tradnl"/>
        </w:rPr>
        <w:t xml:space="preserve"> principalmente</w:t>
      </w:r>
      <w:r w:rsidRPr="00E43F78">
        <w:rPr>
          <w:rFonts w:asciiTheme="minorHAnsi" w:hAnsiTheme="minorHAnsi" w:cstheme="minorHAnsi"/>
          <w:color w:val="auto"/>
          <w:sz w:val="21"/>
          <w:szCs w:val="21"/>
          <w:lang w:val="es-ES_tradnl"/>
        </w:rPr>
        <w:t xml:space="preserve"> en torno al 33%-35% del PIB. </w:t>
      </w:r>
    </w:p>
    <w:p w14:paraId="13F05CB5" w14:textId="77777777" w:rsidR="00C13256" w:rsidRPr="00E43F78" w:rsidRDefault="00C13256" w:rsidP="000779E3">
      <w:pPr>
        <w:pStyle w:val="Pargrafdellista"/>
        <w:numPr>
          <w:ilvl w:val="0"/>
          <w:numId w:val="24"/>
        </w:numPr>
        <w:shd w:val="clear" w:color="auto" w:fill="auto"/>
        <w:spacing w:before="120" w:after="120" w:line="240" w:lineRule="auto"/>
        <w:contextualSpacing w:val="0"/>
        <w:rPr>
          <w:rFonts w:asciiTheme="minorHAnsi" w:hAnsiTheme="minorHAnsi" w:cstheme="minorHAnsi"/>
          <w:color w:val="auto"/>
          <w:sz w:val="21"/>
          <w:szCs w:val="21"/>
          <w:lang w:val="es-ES_tradnl"/>
        </w:rPr>
      </w:pPr>
      <w:r w:rsidRPr="00E43F78">
        <w:rPr>
          <w:rFonts w:asciiTheme="minorHAnsi" w:hAnsiTheme="minorHAnsi" w:cstheme="minorHAnsi"/>
          <w:color w:val="auto"/>
          <w:sz w:val="21"/>
          <w:szCs w:val="21"/>
          <w:lang w:val="es-ES_tradnl"/>
        </w:rPr>
        <w:t xml:space="preserve">De acuerdo con la normativa de estabilidad presupuestaria, el </w:t>
      </w:r>
      <w:r w:rsidRPr="00E43F78">
        <w:rPr>
          <w:rFonts w:asciiTheme="minorHAnsi" w:hAnsiTheme="minorHAnsi" w:cstheme="minorHAnsi"/>
          <w:b/>
          <w:color w:val="auto"/>
          <w:sz w:val="21"/>
          <w:szCs w:val="21"/>
          <w:lang w:val="es-ES_tradnl"/>
        </w:rPr>
        <w:t>máximo de deuda de una comunidad autónoma</w:t>
      </w:r>
      <w:r w:rsidRPr="00E43F78">
        <w:rPr>
          <w:rFonts w:asciiTheme="minorHAnsi" w:hAnsiTheme="minorHAnsi" w:cstheme="minorHAnsi"/>
          <w:color w:val="auto"/>
          <w:sz w:val="21"/>
          <w:szCs w:val="21"/>
          <w:lang w:val="es-ES_tradnl"/>
        </w:rPr>
        <w:t xml:space="preserve"> tendría que ser del </w:t>
      </w:r>
      <w:r w:rsidRPr="00E43F78">
        <w:rPr>
          <w:rFonts w:asciiTheme="minorHAnsi" w:hAnsiTheme="minorHAnsi" w:cstheme="minorHAnsi"/>
          <w:b/>
          <w:color w:val="auto"/>
          <w:sz w:val="21"/>
          <w:szCs w:val="21"/>
          <w:lang w:val="es-ES_tradnl"/>
        </w:rPr>
        <w:t>13% del PIB</w:t>
      </w:r>
      <w:r w:rsidRPr="00E43F78">
        <w:rPr>
          <w:rFonts w:asciiTheme="minorHAnsi" w:hAnsiTheme="minorHAnsi" w:cstheme="minorHAnsi"/>
          <w:color w:val="auto"/>
          <w:sz w:val="21"/>
          <w:szCs w:val="21"/>
          <w:lang w:val="es-ES_tradnl"/>
        </w:rPr>
        <w:t>.</w:t>
      </w:r>
    </w:p>
    <w:p w14:paraId="072156C3" w14:textId="0AB12115" w:rsidR="00C13256" w:rsidRPr="00E43F78" w:rsidRDefault="00C13256" w:rsidP="000779E3">
      <w:pPr>
        <w:pStyle w:val="Pargrafdellista"/>
        <w:numPr>
          <w:ilvl w:val="0"/>
          <w:numId w:val="24"/>
        </w:numPr>
        <w:shd w:val="clear" w:color="auto" w:fill="auto"/>
        <w:spacing w:before="120" w:after="120" w:line="240" w:lineRule="auto"/>
        <w:contextualSpacing w:val="0"/>
        <w:rPr>
          <w:rFonts w:asciiTheme="minorHAnsi" w:hAnsiTheme="minorHAnsi" w:cstheme="minorHAnsi"/>
          <w:color w:val="auto"/>
          <w:sz w:val="21"/>
          <w:szCs w:val="21"/>
          <w:lang w:val="es-ES_tradnl"/>
        </w:rPr>
      </w:pPr>
      <w:r w:rsidRPr="00E43F78">
        <w:rPr>
          <w:rFonts w:asciiTheme="minorHAnsi" w:hAnsiTheme="minorHAnsi" w:cstheme="minorHAnsi"/>
          <w:color w:val="auto"/>
          <w:sz w:val="21"/>
          <w:szCs w:val="21"/>
          <w:lang w:val="es-ES_tradnl"/>
        </w:rPr>
        <w:t xml:space="preserve">El nivel de </w:t>
      </w:r>
      <w:r w:rsidRPr="00E43F78">
        <w:rPr>
          <w:rFonts w:asciiTheme="minorHAnsi" w:hAnsiTheme="minorHAnsi" w:cstheme="minorHAnsi"/>
          <w:b/>
          <w:color w:val="auto"/>
          <w:sz w:val="21"/>
          <w:szCs w:val="21"/>
          <w:lang w:val="es-ES_tradnl"/>
        </w:rPr>
        <w:t xml:space="preserve">deuda </w:t>
      </w:r>
      <w:r w:rsidR="00152244" w:rsidRPr="00E43F78">
        <w:rPr>
          <w:rFonts w:asciiTheme="minorHAnsi" w:hAnsiTheme="minorHAnsi" w:cstheme="minorHAnsi"/>
          <w:b/>
          <w:color w:val="auto"/>
          <w:sz w:val="21"/>
          <w:szCs w:val="21"/>
          <w:lang w:val="es-ES_tradnl"/>
        </w:rPr>
        <w:t>actual equivale a más de 10</w:t>
      </w:r>
      <w:r w:rsidRPr="00E43F78">
        <w:rPr>
          <w:rFonts w:asciiTheme="minorHAnsi" w:hAnsiTheme="minorHAnsi" w:cstheme="minorHAnsi"/>
          <w:b/>
          <w:color w:val="auto"/>
          <w:sz w:val="21"/>
          <w:szCs w:val="21"/>
          <w:lang w:val="es-ES_tradnl"/>
        </w:rPr>
        <w:t>.000 euros por habitante</w:t>
      </w:r>
      <w:r w:rsidRPr="00E43F78">
        <w:rPr>
          <w:rFonts w:asciiTheme="minorHAnsi" w:hAnsiTheme="minorHAnsi" w:cstheme="minorHAnsi"/>
          <w:color w:val="auto"/>
          <w:sz w:val="21"/>
          <w:szCs w:val="21"/>
          <w:lang w:val="es-ES_tradnl"/>
        </w:rPr>
        <w:t xml:space="preserve">, cuando en el </w:t>
      </w:r>
      <w:r w:rsidRPr="00E43F78">
        <w:rPr>
          <w:rFonts w:asciiTheme="minorHAnsi" w:hAnsiTheme="minorHAnsi" w:cstheme="minorHAnsi"/>
          <w:b/>
          <w:color w:val="auto"/>
          <w:sz w:val="21"/>
          <w:szCs w:val="21"/>
          <w:lang w:val="es-ES_tradnl"/>
        </w:rPr>
        <w:t>2010 no llegaba a los 5.000</w:t>
      </w:r>
      <w:r w:rsidRPr="00E43F78">
        <w:rPr>
          <w:rFonts w:asciiTheme="minorHAnsi" w:hAnsiTheme="minorHAnsi" w:cstheme="minorHAnsi"/>
          <w:color w:val="auto"/>
          <w:sz w:val="21"/>
          <w:szCs w:val="21"/>
          <w:lang w:val="es-ES_tradnl"/>
        </w:rPr>
        <w:t>.</w:t>
      </w:r>
    </w:p>
    <w:p w14:paraId="250A2380" w14:textId="77777777" w:rsidR="00C13256" w:rsidRPr="00E43F78" w:rsidRDefault="00C13256" w:rsidP="000779E3">
      <w:pPr>
        <w:pStyle w:val="Pargrafdellista"/>
        <w:numPr>
          <w:ilvl w:val="0"/>
          <w:numId w:val="24"/>
        </w:numPr>
        <w:shd w:val="clear" w:color="auto" w:fill="auto"/>
        <w:spacing w:before="120" w:after="120" w:line="240" w:lineRule="auto"/>
        <w:contextualSpacing w:val="0"/>
        <w:rPr>
          <w:rFonts w:asciiTheme="minorHAnsi" w:hAnsiTheme="minorHAnsi" w:cstheme="minorHAnsi"/>
          <w:color w:val="auto"/>
          <w:sz w:val="21"/>
          <w:szCs w:val="21"/>
          <w:lang w:val="es-ES_tradnl"/>
        </w:rPr>
      </w:pPr>
      <w:r w:rsidRPr="00E43F78">
        <w:rPr>
          <w:rFonts w:asciiTheme="minorHAnsi" w:hAnsiTheme="minorHAnsi" w:cstheme="minorHAnsi"/>
          <w:color w:val="auto"/>
          <w:sz w:val="21"/>
          <w:szCs w:val="21"/>
          <w:lang w:val="es-ES_tradnl"/>
        </w:rPr>
        <w:t xml:space="preserve">Si se quisiera </w:t>
      </w:r>
      <w:r w:rsidRPr="00E43F78">
        <w:rPr>
          <w:rFonts w:asciiTheme="minorHAnsi" w:hAnsiTheme="minorHAnsi" w:cstheme="minorHAnsi"/>
          <w:b/>
          <w:color w:val="auto"/>
          <w:sz w:val="21"/>
          <w:szCs w:val="21"/>
          <w:lang w:val="es-ES_tradnl"/>
        </w:rPr>
        <w:t>devolver de golpe toda la deuda que tiene a la Generalitat</w:t>
      </w:r>
      <w:r w:rsidRPr="00E43F78">
        <w:rPr>
          <w:rFonts w:asciiTheme="minorHAnsi" w:hAnsiTheme="minorHAnsi" w:cstheme="minorHAnsi"/>
          <w:color w:val="auto"/>
          <w:sz w:val="21"/>
          <w:szCs w:val="21"/>
          <w:lang w:val="es-ES_tradnl"/>
        </w:rPr>
        <w:t xml:space="preserve">, se necesitaría </w:t>
      </w:r>
      <w:r w:rsidRPr="00E43F78">
        <w:rPr>
          <w:rFonts w:asciiTheme="minorHAnsi" w:hAnsiTheme="minorHAnsi" w:cstheme="minorHAnsi"/>
          <w:b/>
          <w:color w:val="auto"/>
          <w:sz w:val="21"/>
          <w:szCs w:val="21"/>
          <w:lang w:val="es-ES_tradnl"/>
        </w:rPr>
        <w:t>dedicar todos los recursos, y no gastar nada</w:t>
      </w:r>
      <w:r w:rsidRPr="00E43F78">
        <w:rPr>
          <w:rFonts w:asciiTheme="minorHAnsi" w:hAnsiTheme="minorHAnsi" w:cstheme="minorHAnsi"/>
          <w:color w:val="auto"/>
          <w:sz w:val="21"/>
          <w:szCs w:val="21"/>
          <w:lang w:val="es-ES_tradnl"/>
        </w:rPr>
        <w:t xml:space="preserve"> (en salud, educación, servicios sociales y el resto de políticas), </w:t>
      </w:r>
      <w:r w:rsidRPr="00E43F78">
        <w:rPr>
          <w:rFonts w:asciiTheme="minorHAnsi" w:hAnsiTheme="minorHAnsi" w:cstheme="minorHAnsi"/>
          <w:b/>
          <w:color w:val="auto"/>
          <w:sz w:val="21"/>
          <w:szCs w:val="21"/>
          <w:lang w:val="es-ES_tradnl"/>
        </w:rPr>
        <w:t>durante más de 2 años y medio</w:t>
      </w:r>
      <w:r w:rsidRPr="00E43F78">
        <w:rPr>
          <w:rFonts w:asciiTheme="minorHAnsi" w:hAnsiTheme="minorHAnsi" w:cstheme="minorHAnsi"/>
          <w:color w:val="auto"/>
          <w:sz w:val="21"/>
          <w:szCs w:val="21"/>
          <w:lang w:val="es-ES_tradnl"/>
        </w:rPr>
        <w:t xml:space="preserve">. </w:t>
      </w:r>
    </w:p>
    <w:p w14:paraId="1100A2DF" w14:textId="120DE949" w:rsidR="00C13256" w:rsidRPr="00E43F78" w:rsidRDefault="00C13256" w:rsidP="000779E3">
      <w:pPr>
        <w:pStyle w:val="Pargrafdellista"/>
        <w:numPr>
          <w:ilvl w:val="0"/>
          <w:numId w:val="24"/>
        </w:numPr>
        <w:shd w:val="clear" w:color="auto" w:fill="auto"/>
        <w:spacing w:before="120" w:after="120" w:line="240" w:lineRule="auto"/>
        <w:contextualSpacing w:val="0"/>
        <w:rPr>
          <w:rFonts w:asciiTheme="minorHAnsi" w:hAnsiTheme="minorHAnsi" w:cstheme="minorHAnsi"/>
          <w:color w:val="auto"/>
          <w:sz w:val="21"/>
          <w:szCs w:val="21"/>
          <w:lang w:val="es-ES_tradnl"/>
        </w:rPr>
      </w:pPr>
      <w:r w:rsidRPr="00E43F78">
        <w:rPr>
          <w:rFonts w:asciiTheme="minorHAnsi" w:hAnsiTheme="minorHAnsi" w:cstheme="minorHAnsi"/>
          <w:color w:val="auto"/>
          <w:sz w:val="21"/>
          <w:szCs w:val="21"/>
          <w:lang w:val="es-ES_tradnl"/>
        </w:rPr>
        <w:t xml:space="preserve">Cataluña tiene un endeudamiento </w:t>
      </w:r>
      <w:r w:rsidRPr="00E43F78">
        <w:rPr>
          <w:rFonts w:asciiTheme="minorHAnsi" w:hAnsiTheme="minorHAnsi" w:cstheme="minorHAnsi"/>
          <w:b/>
          <w:color w:val="auto"/>
          <w:sz w:val="21"/>
          <w:szCs w:val="21"/>
          <w:lang w:val="es-ES_tradnl"/>
        </w:rPr>
        <w:t>superior</w:t>
      </w:r>
      <w:r w:rsidRPr="00E43F78">
        <w:rPr>
          <w:rFonts w:asciiTheme="minorHAnsi" w:hAnsiTheme="minorHAnsi" w:cstheme="minorHAnsi"/>
          <w:color w:val="auto"/>
          <w:sz w:val="21"/>
          <w:szCs w:val="21"/>
          <w:lang w:val="es-ES_tradnl"/>
        </w:rPr>
        <w:t xml:space="preserve"> al de la </w:t>
      </w:r>
      <w:r w:rsidRPr="00E43F78">
        <w:rPr>
          <w:rFonts w:asciiTheme="minorHAnsi" w:hAnsiTheme="minorHAnsi" w:cstheme="minorHAnsi"/>
          <w:b/>
          <w:color w:val="auto"/>
          <w:sz w:val="21"/>
          <w:szCs w:val="21"/>
          <w:lang w:val="es-ES_tradnl"/>
        </w:rPr>
        <w:t>media</w:t>
      </w:r>
      <w:r w:rsidRPr="00E43F78">
        <w:rPr>
          <w:rFonts w:asciiTheme="minorHAnsi" w:hAnsiTheme="minorHAnsi" w:cstheme="minorHAnsi"/>
          <w:color w:val="auto"/>
          <w:sz w:val="21"/>
          <w:szCs w:val="21"/>
          <w:lang w:val="es-ES_tradnl"/>
        </w:rPr>
        <w:t xml:space="preserve"> del conjunto de las </w:t>
      </w:r>
      <w:r w:rsidRPr="00E43F78">
        <w:rPr>
          <w:rFonts w:asciiTheme="minorHAnsi" w:hAnsiTheme="minorHAnsi" w:cstheme="minorHAnsi"/>
          <w:b/>
          <w:color w:val="auto"/>
          <w:sz w:val="21"/>
          <w:szCs w:val="21"/>
          <w:lang w:val="es-ES_tradnl"/>
        </w:rPr>
        <w:t xml:space="preserve">comunidades autónomas, que es del </w:t>
      </w:r>
      <w:r w:rsidR="00152244" w:rsidRPr="00E43F78">
        <w:rPr>
          <w:rFonts w:asciiTheme="minorHAnsi" w:hAnsiTheme="minorHAnsi" w:cstheme="minorHAnsi"/>
          <w:b/>
          <w:color w:val="auto"/>
          <w:sz w:val="21"/>
          <w:szCs w:val="21"/>
          <w:lang w:val="es-ES_tradnl"/>
        </w:rPr>
        <w:t>22,3</w:t>
      </w:r>
      <w:r w:rsidRPr="00E43F78">
        <w:rPr>
          <w:rFonts w:asciiTheme="minorHAnsi" w:hAnsiTheme="minorHAnsi" w:cstheme="minorHAnsi"/>
          <w:b/>
          <w:color w:val="auto"/>
          <w:sz w:val="21"/>
          <w:szCs w:val="21"/>
          <w:lang w:val="es-ES_tradnl"/>
        </w:rPr>
        <w:t>%</w:t>
      </w:r>
      <w:r w:rsidRPr="00E43F78">
        <w:rPr>
          <w:rFonts w:asciiTheme="minorHAnsi" w:hAnsiTheme="minorHAnsi" w:cstheme="minorHAnsi"/>
          <w:color w:val="auto"/>
          <w:sz w:val="21"/>
          <w:szCs w:val="21"/>
          <w:lang w:val="es-ES_tradnl"/>
        </w:rPr>
        <w:t xml:space="preserve">.  </w:t>
      </w:r>
    </w:p>
    <w:p w14:paraId="0111D4BC" w14:textId="12F6BC03" w:rsidR="00C13256" w:rsidRPr="00E43F78" w:rsidRDefault="00DE40C3" w:rsidP="000779E3">
      <w:pPr>
        <w:shd w:val="clear" w:color="auto" w:fill="auto"/>
        <w:spacing w:before="120" w:after="120" w:line="240" w:lineRule="auto"/>
        <w:ind w:hanging="851"/>
        <w:rPr>
          <w:noProof/>
          <w:color w:val="auto"/>
          <w:lang w:val="es-ES_tradnl"/>
        </w:rPr>
      </w:pPr>
      <w:r w:rsidRPr="00E43F78">
        <w:rPr>
          <w:noProof/>
          <w:color w:val="auto"/>
          <w:lang w:val="es-ES_tradnl"/>
        </w:rPr>
        <w:t xml:space="preserve"> </w:t>
      </w:r>
    </w:p>
    <w:bookmarkStart w:id="0" w:name="_MON_1774425449"/>
    <w:bookmarkEnd w:id="0"/>
    <w:p w14:paraId="08CC3C72" w14:textId="772C5B39" w:rsidR="003052C0" w:rsidRPr="00E43F78" w:rsidRDefault="00C85AB0" w:rsidP="000779E3">
      <w:pPr>
        <w:shd w:val="clear" w:color="auto" w:fill="auto"/>
        <w:spacing w:before="120" w:after="120" w:line="240" w:lineRule="auto"/>
        <w:ind w:hanging="851"/>
        <w:rPr>
          <w:noProof/>
          <w:color w:val="auto"/>
          <w:lang w:val="es-ES_tradnl"/>
        </w:rPr>
      </w:pPr>
      <w:r w:rsidRPr="00E43F78">
        <w:rPr>
          <w:noProof/>
          <w:color w:val="auto"/>
          <w:sz w:val="20"/>
          <w:lang w:val="es-ES_tradnl"/>
        </w:rPr>
        <w:object w:dxaOrig="14345" w:dyaOrig="5900" w14:anchorId="18F165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Deuda viva 31/12 en % sobre el PIB" style="width:517.75pt;height:229.75pt" o:ole="">
            <v:imagedata r:id="rId17" o:title=""/>
          </v:shape>
          <o:OLEObject Type="Embed" ProgID="Excel.Sheet.12" ShapeID="_x0000_i1025" DrawAspect="Content" ObjectID="_1777797522" r:id="rId18"/>
        </w:object>
      </w:r>
    </w:p>
    <w:p w14:paraId="6CB5EE73" w14:textId="6A80865D" w:rsidR="009B67FD" w:rsidRPr="00E43F78" w:rsidRDefault="009B67FD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b/>
          <w:color w:val="auto"/>
          <w:sz w:val="32"/>
          <w:szCs w:val="32"/>
          <w:lang w:val="es-ES_tradnl"/>
        </w:rPr>
      </w:pPr>
      <w:r w:rsidRPr="00E43F78">
        <w:rPr>
          <w:rFonts w:asciiTheme="minorHAnsi" w:hAnsiTheme="minorHAnsi" w:cstheme="minorHAnsi"/>
          <w:b/>
          <w:color w:val="auto"/>
          <w:sz w:val="32"/>
          <w:szCs w:val="32"/>
          <w:lang w:val="es-ES_tradnl"/>
        </w:rPr>
        <w:lastRenderedPageBreak/>
        <w:t>Opciones planteadas en el debate</w:t>
      </w:r>
    </w:p>
    <w:p w14:paraId="0691B179" w14:textId="783F9ECF" w:rsidR="009B67FD" w:rsidRPr="00E43F78" w:rsidRDefault="009B67FD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color w:val="auto"/>
          <w:lang w:val="es-ES_tradnl"/>
        </w:rPr>
      </w:pPr>
      <w:r w:rsidRPr="00E43F78">
        <w:rPr>
          <w:rFonts w:asciiTheme="minorHAnsi" w:hAnsiTheme="minorHAnsi" w:cstheme="minorHAnsi"/>
          <w:color w:val="auto"/>
          <w:lang w:val="es-ES_tradnl"/>
        </w:rPr>
        <w:t>Para este eje de debate se plantean 3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 xml:space="preserve"> opciones diferentes de posibles estrategias o trayectorias de reducción de la deuda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, las cuales son representativas de diferentes familias de alternativas en este ámbito. Estas 3 opciones suponen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diferentes trayectorias de reducción de la deuda, con sus correspondientes impactos con respecto a plazos, nivel de deuda, crecimiento del gasto y pago de intereses</w:t>
      </w:r>
      <w:r w:rsidRPr="00E43F78">
        <w:rPr>
          <w:rFonts w:asciiTheme="minorHAnsi" w:hAnsiTheme="minorHAnsi" w:cstheme="minorHAnsi"/>
          <w:color w:val="auto"/>
          <w:lang w:val="es-ES_tradnl"/>
        </w:rPr>
        <w:t>.</w:t>
      </w:r>
    </w:p>
    <w:p w14:paraId="1E522FD9" w14:textId="3CB9A018" w:rsidR="009B67FD" w:rsidRPr="00E43F78" w:rsidRDefault="009B67FD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color w:val="auto"/>
          <w:lang w:val="es-ES_tradnl"/>
        </w:rPr>
      </w:pPr>
      <w:r w:rsidRPr="00E43F78">
        <w:rPr>
          <w:rFonts w:asciiTheme="minorHAnsi" w:hAnsiTheme="minorHAnsi" w:cstheme="minorHAnsi"/>
          <w:color w:val="auto"/>
          <w:lang w:val="es-ES_tradnl"/>
        </w:rPr>
        <w:t xml:space="preserve">En el cuadro que se muestra a continuación se muestran los principales </w:t>
      </w:r>
      <w:r w:rsidR="002E5E17" w:rsidRPr="00E43F78">
        <w:rPr>
          <w:rFonts w:asciiTheme="minorHAnsi" w:hAnsiTheme="minorHAnsi" w:cstheme="minorHAnsi"/>
          <w:color w:val="auto"/>
          <w:lang w:val="es-ES_tradnl"/>
        </w:rPr>
        <w:t>rasgos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 de estas 3 diferentes opciones:</w:t>
      </w:r>
    </w:p>
    <w:tbl>
      <w:tblPr>
        <w:tblW w:w="10233" w:type="dxa"/>
        <w:tblInd w:w="-851" w:type="dxa"/>
        <w:tblLook w:val="04A0" w:firstRow="1" w:lastRow="0" w:firstColumn="1" w:lastColumn="0" w:noHBand="0" w:noVBand="1"/>
      </w:tblPr>
      <w:tblGrid>
        <w:gridCol w:w="1960"/>
        <w:gridCol w:w="301"/>
        <w:gridCol w:w="2465"/>
        <w:gridCol w:w="301"/>
        <w:gridCol w:w="2446"/>
        <w:gridCol w:w="301"/>
        <w:gridCol w:w="2459"/>
      </w:tblGrid>
      <w:tr w:rsidR="00E43F78" w:rsidRPr="00E43F78" w14:paraId="7B522EE0" w14:textId="77777777" w:rsidTr="007333AD">
        <w:trPr>
          <w:trHeight w:val="375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6C7D1A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color w:val="auto"/>
                <w:lang w:val="es-ES_tradnl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07FBDA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color w:val="auto"/>
                <w:lang w:val="es-ES_tradnl"/>
              </w:rPr>
              <w:t> </w:t>
            </w:r>
          </w:p>
        </w:tc>
        <w:tc>
          <w:tcPr>
            <w:tcW w:w="24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5CDE1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b/>
                <w:bCs/>
                <w:color w:val="auto"/>
                <w:szCs w:val="28"/>
                <w:lang w:val="es-ES_tradnl"/>
              </w:rPr>
            </w:pPr>
            <w:r w:rsidRPr="00E43F78">
              <w:rPr>
                <w:b/>
                <w:bCs/>
                <w:color w:val="auto"/>
                <w:szCs w:val="28"/>
                <w:lang w:val="es-ES_tradnl"/>
              </w:rPr>
              <w:t>OPCIÓN 1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C7E651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color w:val="auto"/>
                <w:lang w:val="es-ES_tradnl"/>
              </w:rPr>
              <w:t> </w:t>
            </w:r>
          </w:p>
        </w:tc>
        <w:tc>
          <w:tcPr>
            <w:tcW w:w="244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B6007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b/>
                <w:bCs/>
                <w:color w:val="auto"/>
                <w:szCs w:val="28"/>
                <w:lang w:val="es-ES_tradnl"/>
              </w:rPr>
            </w:pPr>
            <w:r w:rsidRPr="00E43F78">
              <w:rPr>
                <w:b/>
                <w:bCs/>
                <w:color w:val="auto"/>
                <w:szCs w:val="28"/>
                <w:lang w:val="es-ES_tradnl"/>
              </w:rPr>
              <w:t>OPCIÓN 2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FFEBFE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color w:val="auto"/>
                <w:lang w:val="es-ES_tradnl"/>
              </w:rPr>
              <w:t> </w:t>
            </w:r>
          </w:p>
        </w:tc>
        <w:tc>
          <w:tcPr>
            <w:tcW w:w="245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D6E6E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b/>
                <w:bCs/>
                <w:color w:val="auto"/>
                <w:szCs w:val="28"/>
                <w:lang w:val="es-ES_tradnl"/>
              </w:rPr>
            </w:pPr>
            <w:r w:rsidRPr="00E43F78">
              <w:rPr>
                <w:b/>
                <w:bCs/>
                <w:color w:val="auto"/>
                <w:szCs w:val="28"/>
                <w:lang w:val="es-ES_tradnl"/>
              </w:rPr>
              <w:t>OPCIÓN 3</w:t>
            </w:r>
          </w:p>
        </w:tc>
      </w:tr>
      <w:tr w:rsidR="00E43F78" w:rsidRPr="00E43F78" w14:paraId="686F822C" w14:textId="77777777" w:rsidTr="00F85F05">
        <w:trPr>
          <w:trHeight w:val="1169"/>
        </w:trPr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ADD3B11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color w:val="auto"/>
                <w:lang w:val="es-ES_tradnl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2FCB93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color w:val="auto"/>
                <w:lang w:val="es-ES_tradnl"/>
              </w:rPr>
              <w:t> </w:t>
            </w:r>
          </w:p>
        </w:tc>
        <w:tc>
          <w:tcPr>
            <w:tcW w:w="24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28A19C6C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b/>
                <w:bCs/>
                <w:color w:val="auto"/>
                <w:szCs w:val="24"/>
                <w:lang w:val="es-ES_tradnl"/>
              </w:rPr>
            </w:pPr>
            <w:r w:rsidRPr="00E43F78">
              <w:rPr>
                <w:b/>
                <w:bCs/>
                <w:color w:val="auto"/>
                <w:szCs w:val="24"/>
                <w:lang w:val="es-ES_tradnl"/>
              </w:rPr>
              <w:t>Fuerte reducción inicial, y más suave después, a medio plazo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FAA2CA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color w:val="auto"/>
                <w:lang w:val="es-ES_tradnl"/>
              </w:rPr>
              <w:t> </w:t>
            </w:r>
          </w:p>
        </w:tc>
        <w:tc>
          <w:tcPr>
            <w:tcW w:w="24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5C440B21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b/>
                <w:bCs/>
                <w:color w:val="auto"/>
                <w:szCs w:val="24"/>
                <w:lang w:val="es-ES_tradnl"/>
              </w:rPr>
            </w:pPr>
            <w:r w:rsidRPr="00E43F78">
              <w:rPr>
                <w:b/>
                <w:bCs/>
                <w:color w:val="auto"/>
                <w:szCs w:val="24"/>
                <w:lang w:val="es-ES_tradnl"/>
              </w:rPr>
              <w:t>Reducción constante media a medio-largo plazo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6BD279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color w:val="auto"/>
                <w:lang w:val="es-ES_tradnl"/>
              </w:rPr>
              <w:t> </w:t>
            </w:r>
          </w:p>
        </w:tc>
        <w:tc>
          <w:tcPr>
            <w:tcW w:w="24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78762B7E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b/>
                <w:bCs/>
                <w:color w:val="auto"/>
                <w:szCs w:val="24"/>
                <w:lang w:val="es-ES_tradnl"/>
              </w:rPr>
            </w:pPr>
            <w:r w:rsidRPr="00E43F78">
              <w:rPr>
                <w:b/>
                <w:bCs/>
                <w:color w:val="auto"/>
                <w:szCs w:val="24"/>
                <w:lang w:val="es-ES_tradnl"/>
              </w:rPr>
              <w:t>Reducción constante lenta y a largo plazo</w:t>
            </w:r>
          </w:p>
        </w:tc>
      </w:tr>
      <w:tr w:rsidR="00E43F78" w:rsidRPr="00E43F78" w14:paraId="1EC5DB57" w14:textId="77777777" w:rsidTr="00F85F05">
        <w:trPr>
          <w:trHeight w:val="1316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18E1C680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b/>
                <w:bCs/>
                <w:color w:val="auto"/>
                <w:szCs w:val="24"/>
                <w:lang w:val="es-ES_tradnl"/>
              </w:rPr>
            </w:pPr>
            <w:r w:rsidRPr="00E43F78">
              <w:rPr>
                <w:b/>
                <w:bCs/>
                <w:color w:val="auto"/>
                <w:szCs w:val="24"/>
                <w:lang w:val="es-ES_tradnl"/>
              </w:rPr>
              <w:t>Ritmo de reducción de la deuda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88E149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color w:val="auto"/>
                <w:lang w:val="es-ES_tradnl"/>
              </w:rPr>
              <w:t> </w:t>
            </w:r>
          </w:p>
        </w:tc>
        <w:tc>
          <w:tcPr>
            <w:tcW w:w="24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377D9F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b/>
                <w:bCs/>
                <w:color w:val="auto"/>
                <w:lang w:val="es-ES_tradnl"/>
              </w:rPr>
              <w:t>Reducción concentrada</w:t>
            </w:r>
            <w:r w:rsidRPr="00E43F78">
              <w:rPr>
                <w:color w:val="auto"/>
                <w:lang w:val="es-ES_tradnl"/>
              </w:rPr>
              <w:t xml:space="preserve"> en los primeros años y posteriormente más moderada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DAF6E8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color w:val="auto"/>
                <w:lang w:val="es-ES_tradnl"/>
              </w:rPr>
              <w:t> </w:t>
            </w:r>
          </w:p>
        </w:tc>
        <w:tc>
          <w:tcPr>
            <w:tcW w:w="24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3EFA53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color w:val="auto"/>
                <w:lang w:val="es-ES_tradnl"/>
              </w:rPr>
              <w:t>Medio en todo el periodo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16060A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color w:val="auto"/>
                <w:lang w:val="es-ES_tradnl"/>
              </w:rPr>
              <w:t> </w:t>
            </w:r>
          </w:p>
        </w:tc>
        <w:tc>
          <w:tcPr>
            <w:tcW w:w="24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F276D7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color w:val="auto"/>
                <w:lang w:val="es-ES_tradnl"/>
              </w:rPr>
              <w:t>Moderado/bajo en todo el periodo</w:t>
            </w:r>
          </w:p>
        </w:tc>
      </w:tr>
      <w:tr w:rsidR="00E43F78" w:rsidRPr="00E43F78" w14:paraId="5EF5B874" w14:textId="77777777" w:rsidTr="00F85F05">
        <w:trPr>
          <w:trHeight w:val="918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277C6C27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b/>
                <w:bCs/>
                <w:color w:val="auto"/>
                <w:szCs w:val="24"/>
                <w:lang w:val="es-ES_tradnl"/>
              </w:rPr>
            </w:pPr>
            <w:r w:rsidRPr="00E43F78">
              <w:rPr>
                <w:b/>
                <w:bCs/>
                <w:color w:val="auto"/>
                <w:szCs w:val="24"/>
                <w:lang w:val="es-ES_tradnl"/>
              </w:rPr>
              <w:t xml:space="preserve">Periodo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4DDBF2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color w:val="auto"/>
                <w:lang w:val="es-ES_tradnl"/>
              </w:rPr>
              <w:t> </w:t>
            </w:r>
          </w:p>
        </w:tc>
        <w:tc>
          <w:tcPr>
            <w:tcW w:w="24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FBD391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b/>
                <w:bCs/>
                <w:color w:val="auto"/>
                <w:lang w:val="es-ES_tradnl"/>
              </w:rPr>
              <w:t xml:space="preserve">Medio plazo </w:t>
            </w:r>
            <w:r w:rsidRPr="00E43F78">
              <w:rPr>
                <w:color w:val="auto"/>
                <w:lang w:val="es-ES_tradnl"/>
              </w:rPr>
              <w:br/>
              <w:t>(10-15 años)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F036DE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color w:val="auto"/>
                <w:lang w:val="es-ES_tradnl"/>
              </w:rPr>
              <w:t> </w:t>
            </w:r>
          </w:p>
        </w:tc>
        <w:tc>
          <w:tcPr>
            <w:tcW w:w="24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75D0A4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b/>
                <w:bCs/>
                <w:color w:val="auto"/>
                <w:lang w:val="es-ES_tradnl"/>
              </w:rPr>
              <w:t xml:space="preserve">Medio- largo plazo </w:t>
            </w:r>
            <w:r w:rsidRPr="00E43F78">
              <w:rPr>
                <w:color w:val="auto"/>
                <w:lang w:val="es-ES_tradnl"/>
              </w:rPr>
              <w:br/>
              <w:t>(15-20 años)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D2164B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color w:val="auto"/>
                <w:lang w:val="es-ES_tradnl"/>
              </w:rPr>
              <w:t> </w:t>
            </w:r>
          </w:p>
        </w:tc>
        <w:tc>
          <w:tcPr>
            <w:tcW w:w="24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AE18AF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b/>
                <w:bCs/>
                <w:color w:val="auto"/>
                <w:lang w:val="es-ES_tradnl"/>
              </w:rPr>
              <w:t xml:space="preserve">Largo plazo </w:t>
            </w:r>
            <w:r w:rsidRPr="00E43F78">
              <w:rPr>
                <w:color w:val="auto"/>
                <w:lang w:val="es-ES_tradnl"/>
              </w:rPr>
              <w:br/>
              <w:t>(superior a 20 años)</w:t>
            </w:r>
          </w:p>
        </w:tc>
      </w:tr>
      <w:tr w:rsidR="00E43F78" w:rsidRPr="00E43F78" w14:paraId="044C073E" w14:textId="77777777" w:rsidTr="00F85F05">
        <w:trPr>
          <w:trHeight w:val="109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13B233E7" w14:textId="14CF19B1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b/>
                <w:bCs/>
                <w:color w:val="auto"/>
                <w:szCs w:val="24"/>
                <w:lang w:val="es-ES_tradnl"/>
              </w:rPr>
            </w:pPr>
            <w:r w:rsidRPr="00E43F78">
              <w:rPr>
                <w:b/>
                <w:bCs/>
                <w:color w:val="auto"/>
                <w:szCs w:val="24"/>
                <w:lang w:val="es-ES_tradnl"/>
              </w:rPr>
              <w:t>Nivel de deuda en el co</w:t>
            </w:r>
            <w:r w:rsidR="00F85F05" w:rsidRPr="00E43F78">
              <w:rPr>
                <w:b/>
                <w:bCs/>
                <w:color w:val="auto"/>
                <w:szCs w:val="24"/>
                <w:lang w:val="es-ES_tradnl"/>
              </w:rPr>
              <w:t>n</w:t>
            </w:r>
            <w:r w:rsidRPr="00E43F78">
              <w:rPr>
                <w:b/>
                <w:bCs/>
                <w:color w:val="auto"/>
                <w:szCs w:val="24"/>
                <w:lang w:val="es-ES_tradnl"/>
              </w:rPr>
              <w:t>junto del periodo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7DDEC3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color w:val="auto"/>
                <w:lang w:val="es-ES_tradnl"/>
              </w:rPr>
              <w:t> </w:t>
            </w:r>
          </w:p>
        </w:tc>
        <w:tc>
          <w:tcPr>
            <w:tcW w:w="24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D7C160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b/>
                <w:bCs/>
                <w:color w:val="auto"/>
                <w:lang w:val="es-ES_tradnl"/>
              </w:rPr>
              <w:t xml:space="preserve">Alto </w:t>
            </w:r>
            <w:r w:rsidRPr="00E43F78">
              <w:rPr>
                <w:color w:val="auto"/>
                <w:lang w:val="es-ES_tradnl"/>
              </w:rPr>
              <w:t xml:space="preserve">en los </w:t>
            </w:r>
            <w:r w:rsidRPr="00E43F78">
              <w:rPr>
                <w:b/>
                <w:bCs/>
                <w:color w:val="auto"/>
                <w:lang w:val="es-ES_tradnl"/>
              </w:rPr>
              <w:t>primeros años</w:t>
            </w:r>
            <w:r w:rsidRPr="00E43F78">
              <w:rPr>
                <w:color w:val="auto"/>
                <w:lang w:val="es-ES_tradnl"/>
              </w:rPr>
              <w:t>, y moderado en los siguientes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222DE2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color w:val="auto"/>
                <w:lang w:val="es-ES_tradnl"/>
              </w:rPr>
              <w:t> </w:t>
            </w:r>
          </w:p>
        </w:tc>
        <w:tc>
          <w:tcPr>
            <w:tcW w:w="24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46FECE" w14:textId="3C128EFD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b/>
                <w:bCs/>
                <w:color w:val="auto"/>
                <w:lang w:val="es-ES_tradnl"/>
              </w:rPr>
              <w:t>Alto</w:t>
            </w:r>
            <w:r w:rsidR="00F85F05" w:rsidRPr="00E43F78">
              <w:rPr>
                <w:color w:val="auto"/>
                <w:lang w:val="es-ES_tradnl"/>
              </w:rPr>
              <w:t xml:space="preserve"> en gran parte</w:t>
            </w:r>
            <w:r w:rsidRPr="00E43F78">
              <w:rPr>
                <w:color w:val="auto"/>
                <w:lang w:val="es-ES_tradnl"/>
              </w:rPr>
              <w:t xml:space="preserve"> del periodo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AA1E85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color w:val="auto"/>
                <w:lang w:val="es-ES_tradnl"/>
              </w:rPr>
              <w:t> </w:t>
            </w:r>
          </w:p>
        </w:tc>
        <w:tc>
          <w:tcPr>
            <w:tcW w:w="24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61AD8D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b/>
                <w:bCs/>
                <w:color w:val="auto"/>
                <w:lang w:val="es-ES_tradnl"/>
              </w:rPr>
              <w:t>Muy alto</w:t>
            </w:r>
            <w:r w:rsidRPr="00E43F78">
              <w:rPr>
                <w:color w:val="auto"/>
                <w:lang w:val="es-ES_tradnl"/>
              </w:rPr>
              <w:t xml:space="preserve"> en gran parte del periodo</w:t>
            </w:r>
          </w:p>
        </w:tc>
      </w:tr>
      <w:tr w:rsidR="00E43F78" w:rsidRPr="00E43F78" w14:paraId="739E716E" w14:textId="77777777" w:rsidTr="00F85F05">
        <w:trPr>
          <w:trHeight w:val="211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73BE834D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b/>
                <w:bCs/>
                <w:color w:val="auto"/>
                <w:szCs w:val="24"/>
                <w:lang w:val="es-ES_tradnl"/>
              </w:rPr>
            </w:pPr>
            <w:r w:rsidRPr="00E43F78">
              <w:rPr>
                <w:b/>
                <w:bCs/>
                <w:color w:val="auto"/>
                <w:szCs w:val="24"/>
                <w:lang w:val="es-ES_tradnl"/>
              </w:rPr>
              <w:t>Crecimiento del gasto en el periodo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C02080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color w:val="auto"/>
                <w:lang w:val="es-ES_tradnl"/>
              </w:rPr>
              <w:t> </w:t>
            </w:r>
          </w:p>
        </w:tc>
        <w:tc>
          <w:tcPr>
            <w:tcW w:w="24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ABAE55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b/>
                <w:bCs/>
                <w:color w:val="auto"/>
                <w:lang w:val="es-ES_tradnl"/>
              </w:rPr>
              <w:t>Reducción o crecimiento muy moderado en los primeros años</w:t>
            </w:r>
            <w:r w:rsidRPr="00E43F78">
              <w:rPr>
                <w:color w:val="auto"/>
                <w:lang w:val="es-ES_tradnl"/>
              </w:rPr>
              <w:t xml:space="preserve">, pero </w:t>
            </w:r>
            <w:r w:rsidRPr="00E43F78">
              <w:rPr>
                <w:b/>
                <w:bCs/>
                <w:color w:val="auto"/>
                <w:lang w:val="es-ES_tradnl"/>
              </w:rPr>
              <w:t>crecimiento estable (con menores intereses) en años posteriores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4BD901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color w:val="auto"/>
                <w:lang w:val="es-ES_tradnl"/>
              </w:rPr>
              <w:t> </w:t>
            </w:r>
          </w:p>
        </w:tc>
        <w:tc>
          <w:tcPr>
            <w:tcW w:w="24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D0EB4E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b/>
                <w:bCs/>
                <w:color w:val="auto"/>
                <w:lang w:val="es-ES_tradnl"/>
              </w:rPr>
              <w:t>Moderado</w:t>
            </w:r>
            <w:r w:rsidRPr="00E43F78">
              <w:rPr>
                <w:color w:val="auto"/>
                <w:lang w:val="es-ES_tradnl"/>
              </w:rPr>
              <w:t xml:space="preserve"> en todo el periodo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DFF76A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color w:val="auto"/>
                <w:lang w:val="es-ES_tradnl"/>
              </w:rPr>
              <w:t> </w:t>
            </w:r>
          </w:p>
        </w:tc>
        <w:tc>
          <w:tcPr>
            <w:tcW w:w="24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235C72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color w:val="auto"/>
                <w:lang w:val="es-ES_tradnl"/>
              </w:rPr>
              <w:t xml:space="preserve">Opción que </w:t>
            </w:r>
            <w:r w:rsidRPr="00E43F78">
              <w:rPr>
                <w:b/>
                <w:bCs/>
                <w:color w:val="auto"/>
                <w:lang w:val="es-ES_tradnl"/>
              </w:rPr>
              <w:t>limita menos el crecimiento</w:t>
            </w:r>
            <w:r w:rsidRPr="00E43F78">
              <w:rPr>
                <w:color w:val="auto"/>
                <w:lang w:val="es-ES_tradnl"/>
              </w:rPr>
              <w:t xml:space="preserve">, pero con una </w:t>
            </w:r>
            <w:r w:rsidRPr="00E43F78">
              <w:rPr>
                <w:b/>
                <w:bCs/>
                <w:color w:val="auto"/>
                <w:lang w:val="es-ES_tradnl"/>
              </w:rPr>
              <w:t xml:space="preserve">mayor presencia de intereses </w:t>
            </w:r>
          </w:p>
        </w:tc>
      </w:tr>
      <w:tr w:rsidR="00E43F78" w:rsidRPr="00E43F78" w14:paraId="4BCB017C" w14:textId="77777777" w:rsidTr="00F85F05">
        <w:trPr>
          <w:trHeight w:val="1326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20727815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b/>
                <w:bCs/>
                <w:color w:val="auto"/>
                <w:szCs w:val="24"/>
                <w:lang w:val="es-ES_tradnl"/>
              </w:rPr>
            </w:pPr>
            <w:r w:rsidRPr="00E43F78">
              <w:rPr>
                <w:b/>
                <w:bCs/>
                <w:color w:val="auto"/>
                <w:szCs w:val="24"/>
                <w:lang w:val="es-ES_tradnl"/>
              </w:rPr>
              <w:t>Pago de intereses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757F7D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color w:val="auto"/>
                <w:lang w:val="es-ES_tradnl"/>
              </w:rPr>
              <w:t> </w:t>
            </w:r>
          </w:p>
        </w:tc>
        <w:tc>
          <w:tcPr>
            <w:tcW w:w="2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A8D1A6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color w:val="auto"/>
                <w:lang w:val="es-ES_tradnl"/>
              </w:rPr>
              <w:t xml:space="preserve">Opción que supone </w:t>
            </w:r>
            <w:r w:rsidRPr="00E43F78">
              <w:rPr>
                <w:b/>
                <w:bCs/>
                <w:color w:val="auto"/>
                <w:lang w:val="es-ES_tradnl"/>
              </w:rPr>
              <w:t>menor pago de intereses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7FB514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color w:val="auto"/>
                <w:lang w:val="es-ES_tradnl"/>
              </w:rPr>
              <w:t> </w:t>
            </w:r>
          </w:p>
        </w:tc>
        <w:tc>
          <w:tcPr>
            <w:tcW w:w="24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52B00E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b/>
                <w:bCs/>
                <w:color w:val="auto"/>
                <w:lang w:val="es-ES_tradnl"/>
              </w:rPr>
              <w:t xml:space="preserve">Alto </w:t>
            </w:r>
            <w:r w:rsidRPr="00E43F78">
              <w:rPr>
                <w:color w:val="auto"/>
                <w:lang w:val="es-ES_tradnl"/>
              </w:rPr>
              <w:t>pago de intereses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390996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color w:val="auto"/>
                <w:lang w:val="es-ES_tradnl"/>
              </w:rPr>
              <w:t> </w:t>
            </w:r>
          </w:p>
        </w:tc>
        <w:tc>
          <w:tcPr>
            <w:tcW w:w="24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31AD1D" w14:textId="77777777" w:rsidR="00AF49BB" w:rsidRPr="00E43F78" w:rsidRDefault="00AF49BB" w:rsidP="000779E3">
            <w:pPr>
              <w:shd w:val="clear" w:color="auto" w:fill="auto"/>
              <w:spacing w:after="0" w:line="240" w:lineRule="auto"/>
              <w:rPr>
                <w:color w:val="auto"/>
                <w:lang w:val="es-ES_tradnl"/>
              </w:rPr>
            </w:pPr>
            <w:r w:rsidRPr="00E43F78">
              <w:rPr>
                <w:b/>
                <w:bCs/>
                <w:color w:val="auto"/>
                <w:lang w:val="es-ES_tradnl"/>
              </w:rPr>
              <w:t>Muy alto</w:t>
            </w:r>
            <w:r w:rsidRPr="00E43F78">
              <w:rPr>
                <w:color w:val="auto"/>
                <w:lang w:val="es-ES_tradnl"/>
              </w:rPr>
              <w:t xml:space="preserve"> pago de intereses</w:t>
            </w:r>
          </w:p>
        </w:tc>
      </w:tr>
    </w:tbl>
    <w:p w14:paraId="1FAED537" w14:textId="4B013526" w:rsidR="00AF49BB" w:rsidRPr="00E43F78" w:rsidRDefault="00AF49BB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color w:val="auto"/>
          <w:lang w:val="es-ES_tradnl"/>
        </w:rPr>
      </w:pPr>
    </w:p>
    <w:p w14:paraId="6D41A2C8" w14:textId="3320C128" w:rsidR="00F85F05" w:rsidRPr="00E43F78" w:rsidRDefault="00F85F05" w:rsidP="000779E3">
      <w:pPr>
        <w:spacing w:before="120" w:after="120"/>
        <w:rPr>
          <w:color w:val="auto"/>
          <w:lang w:val="es-ES_tradnl"/>
        </w:rPr>
      </w:pPr>
      <w:r w:rsidRPr="00E43F78">
        <w:rPr>
          <w:color w:val="auto"/>
          <w:lang w:val="es-ES_tradnl"/>
        </w:rPr>
        <w:lastRenderedPageBreak/>
        <w:t xml:space="preserve">Gráficamente, las trayectorias de </w:t>
      </w:r>
      <w:r w:rsidR="00E43F78" w:rsidRPr="00E43F78">
        <w:rPr>
          <w:color w:val="auto"/>
          <w:lang w:val="es-ES_tradnl"/>
        </w:rPr>
        <w:t>estas 3 opciones</w:t>
      </w:r>
      <w:r w:rsidRPr="00E43F78">
        <w:rPr>
          <w:color w:val="auto"/>
          <w:lang w:val="es-ES_tradnl"/>
        </w:rPr>
        <w:t xml:space="preserve"> de reducción de la deuda se pueden visualizar de la siguiente manera:</w:t>
      </w:r>
    </w:p>
    <w:p w14:paraId="0A0EB1D2" w14:textId="2FD530DA" w:rsidR="00F85F05" w:rsidRPr="00E43F78" w:rsidRDefault="00F85F05" w:rsidP="000779E3">
      <w:pPr>
        <w:spacing w:before="120" w:after="120"/>
        <w:rPr>
          <w:color w:val="auto"/>
          <w:lang w:val="es-ES_tradnl"/>
        </w:rPr>
      </w:pPr>
    </w:p>
    <w:p w14:paraId="70C86CC6" w14:textId="5F7AF15B" w:rsidR="00F85F05" w:rsidRPr="00E43F78" w:rsidRDefault="008C2010" w:rsidP="000779E3">
      <w:pPr>
        <w:spacing w:before="120" w:after="120"/>
        <w:rPr>
          <w:b/>
          <w:color w:val="auto"/>
          <w:lang w:val="es-ES_tradnl"/>
        </w:rPr>
      </w:pPr>
      <w:r w:rsidRPr="00E43F78">
        <w:rPr>
          <w:noProof/>
          <w:color w:val="auto"/>
          <w:lang w:val="es-ES_tradnl"/>
        </w:rPr>
        <w:drawing>
          <wp:inline distT="0" distB="0" distL="0" distR="0" wp14:anchorId="0A8A1AAF" wp14:editId="146BC069">
            <wp:extent cx="5760720" cy="2794000"/>
            <wp:effectExtent l="0" t="0" r="11430" b="6350"/>
            <wp:docPr id="2" name="Gràfic 2" descr="Opciones de trayectorias de reducción de la deuda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401DD91" w14:textId="77777777" w:rsidR="00F85F05" w:rsidRPr="00E43F78" w:rsidRDefault="00F85F05" w:rsidP="000779E3">
      <w:pPr>
        <w:spacing w:before="120" w:after="120"/>
        <w:rPr>
          <w:b/>
          <w:color w:val="auto"/>
          <w:lang w:val="es-ES_tradnl"/>
        </w:rPr>
      </w:pPr>
    </w:p>
    <w:p w14:paraId="525056BA" w14:textId="37E013FA" w:rsidR="00F85F05" w:rsidRPr="00E43F78" w:rsidRDefault="00F85F05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color w:val="auto"/>
          <w:lang w:val="es-ES_tradnl"/>
        </w:rPr>
      </w:pPr>
      <w:r w:rsidRPr="00E43F78">
        <w:rPr>
          <w:rFonts w:asciiTheme="minorHAnsi" w:hAnsiTheme="minorHAnsi" w:cstheme="minorHAnsi"/>
          <w:color w:val="auto"/>
          <w:lang w:val="es-ES_tradnl"/>
        </w:rPr>
        <w:t xml:space="preserve">Estas 3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opciones tienen asociados diferentes “ventajas” y “desventajas”,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 como un menor/mayor pago de intereses, el mantenimiento de un menor/mayor volumen de deuda durante el periodo, una consecución </w:t>
      </w:r>
      <w:r w:rsidR="00C85AB0" w:rsidRPr="00E43F78">
        <w:rPr>
          <w:rFonts w:asciiTheme="minorHAnsi" w:hAnsiTheme="minorHAnsi" w:cstheme="minorHAnsi"/>
          <w:color w:val="auto"/>
          <w:lang w:val="es-ES_tradnl"/>
        </w:rPr>
        <w:t>más rápida o lenta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 de volúmenes de deuda más moderados o la contención menos o más moderada del crecimiento del gasto.</w:t>
      </w:r>
    </w:p>
    <w:p w14:paraId="5330F29C" w14:textId="5BE13A28" w:rsidR="00AF49BB" w:rsidRPr="00E43F78" w:rsidRDefault="00F85F05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color w:val="auto"/>
          <w:lang w:val="es-ES_tradnl"/>
        </w:rPr>
      </w:pPr>
      <w:r w:rsidRPr="00E43F78">
        <w:rPr>
          <w:rFonts w:asciiTheme="minorHAnsi" w:hAnsiTheme="minorHAnsi" w:cstheme="minorHAnsi"/>
          <w:b/>
          <w:color w:val="auto"/>
          <w:lang w:val="es-ES_tradnl"/>
        </w:rPr>
        <w:t xml:space="preserve">El objetivo del debate 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es poder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conocer en mayor grado qué tipo de opciones podrían ser las más preferidas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,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habiéndose considerado sus respectivas “ventajas” y “desventajas”,</w:t>
      </w:r>
      <w:r w:rsidRPr="00E43F78">
        <w:rPr>
          <w:rFonts w:asciiTheme="minorHAnsi" w:hAnsiTheme="minorHAnsi" w:cstheme="minorHAnsi"/>
          <w:color w:val="auto"/>
          <w:lang w:val="es-ES_tradnl"/>
        </w:rPr>
        <w:t xml:space="preserve"> con el fin de ser </w:t>
      </w:r>
      <w:r w:rsidRPr="00E43F78">
        <w:rPr>
          <w:rFonts w:asciiTheme="minorHAnsi" w:hAnsiTheme="minorHAnsi" w:cstheme="minorHAnsi"/>
          <w:b/>
          <w:color w:val="auto"/>
          <w:lang w:val="es-ES_tradnl"/>
        </w:rPr>
        <w:t>consideradas en la definición de una estrategia de reducción de la deuda</w:t>
      </w:r>
      <w:r w:rsidRPr="00E43F78">
        <w:rPr>
          <w:rFonts w:asciiTheme="minorHAnsi" w:hAnsiTheme="minorHAnsi" w:cstheme="minorHAnsi"/>
          <w:color w:val="auto"/>
          <w:lang w:val="es-ES_tradnl"/>
        </w:rPr>
        <w:t>.</w:t>
      </w:r>
    </w:p>
    <w:p w14:paraId="5FAF9DC3" w14:textId="77777777" w:rsidR="009B67FD" w:rsidRPr="00E43F78" w:rsidRDefault="009B67FD" w:rsidP="000779E3">
      <w:pPr>
        <w:rPr>
          <w:color w:val="auto"/>
          <w:lang w:val="es-ES_tradnl"/>
        </w:rPr>
      </w:pPr>
    </w:p>
    <w:p w14:paraId="25B5EA1B" w14:textId="174B9A39" w:rsidR="002F6649" w:rsidRPr="00E43F78" w:rsidRDefault="002F6649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b/>
          <w:color w:val="auto"/>
          <w:sz w:val="32"/>
          <w:szCs w:val="32"/>
          <w:lang w:val="es-ES_tradnl"/>
        </w:rPr>
      </w:pPr>
      <w:r w:rsidRPr="00E43F78">
        <w:rPr>
          <w:rFonts w:asciiTheme="minorHAnsi" w:hAnsiTheme="minorHAnsi" w:cstheme="minorHAnsi"/>
          <w:b/>
          <w:color w:val="auto"/>
          <w:sz w:val="32"/>
          <w:szCs w:val="32"/>
          <w:lang w:val="es-ES_tradnl"/>
        </w:rPr>
        <w:t>Documentación de referencia</w:t>
      </w:r>
    </w:p>
    <w:p w14:paraId="5055149D" w14:textId="77777777" w:rsidR="002F6649" w:rsidRPr="00E43F78" w:rsidRDefault="00124263" w:rsidP="000779E3">
      <w:pPr>
        <w:pStyle w:val="Pargrafdellista"/>
        <w:numPr>
          <w:ilvl w:val="0"/>
          <w:numId w:val="26"/>
        </w:numPr>
        <w:spacing w:before="120" w:after="120"/>
        <w:rPr>
          <w:rFonts w:asciiTheme="minorHAnsi" w:hAnsiTheme="minorHAnsi" w:cstheme="minorHAnsi"/>
          <w:color w:val="auto"/>
          <w:lang w:val="es-ES_tradnl"/>
        </w:rPr>
      </w:pPr>
      <w:hyperlink r:id="rId20" w:history="1">
        <w:r w:rsidR="002F6649" w:rsidRPr="00E43F78">
          <w:rPr>
            <w:rStyle w:val="Enlla"/>
            <w:rFonts w:asciiTheme="minorHAnsi" w:hAnsiTheme="minorHAnsi" w:cstheme="minorHAnsi"/>
            <w:color w:val="auto"/>
            <w:lang w:val="es-ES_tradnl"/>
          </w:rPr>
          <w:t>Objetivos y seguimiento de la estabilidad y la sostenibilidad financiera (Deuda)</w:t>
        </w:r>
      </w:hyperlink>
      <w:r w:rsidR="002F6649" w:rsidRPr="00E43F78">
        <w:rPr>
          <w:rFonts w:asciiTheme="minorHAnsi" w:hAnsiTheme="minorHAnsi" w:cstheme="minorHAnsi"/>
          <w:color w:val="auto"/>
          <w:lang w:val="es-ES_tradnl"/>
        </w:rPr>
        <w:t xml:space="preserve">   </w:t>
      </w:r>
    </w:p>
    <w:p w14:paraId="6B04AB77" w14:textId="77777777" w:rsidR="002F6649" w:rsidRPr="00E43F78" w:rsidRDefault="00124263" w:rsidP="000779E3">
      <w:pPr>
        <w:pStyle w:val="Pargrafdellista"/>
        <w:numPr>
          <w:ilvl w:val="0"/>
          <w:numId w:val="26"/>
        </w:numPr>
        <w:spacing w:before="120" w:after="120"/>
        <w:rPr>
          <w:rFonts w:asciiTheme="minorHAnsi" w:hAnsiTheme="minorHAnsi" w:cstheme="minorHAnsi"/>
          <w:color w:val="auto"/>
          <w:lang w:val="es-ES_tradnl"/>
        </w:rPr>
      </w:pPr>
      <w:hyperlink r:id="rId21" w:history="1">
        <w:r w:rsidR="002F6649" w:rsidRPr="00E43F78">
          <w:rPr>
            <w:rStyle w:val="Enlla"/>
            <w:rFonts w:asciiTheme="minorHAnsi" w:hAnsiTheme="minorHAnsi" w:cstheme="minorHAnsi"/>
            <w:color w:val="auto"/>
            <w:lang w:val="es-ES_tradnl"/>
          </w:rPr>
          <w:t>Endeudamiento del sector público</w:t>
        </w:r>
      </w:hyperlink>
    </w:p>
    <w:p w14:paraId="6768CD7A" w14:textId="77777777" w:rsidR="002F6649" w:rsidRPr="00E43F78" w:rsidRDefault="00124263" w:rsidP="000779E3">
      <w:pPr>
        <w:pStyle w:val="Pargrafdellista"/>
        <w:numPr>
          <w:ilvl w:val="0"/>
          <w:numId w:val="26"/>
        </w:numPr>
        <w:spacing w:before="120" w:after="120"/>
        <w:rPr>
          <w:rFonts w:asciiTheme="minorHAnsi" w:hAnsiTheme="minorHAnsi" w:cstheme="minorHAnsi"/>
          <w:color w:val="auto"/>
          <w:lang w:val="es-ES_tradnl"/>
        </w:rPr>
      </w:pPr>
      <w:hyperlink r:id="rId22" w:history="1">
        <w:r w:rsidR="002F6649" w:rsidRPr="00E43F78">
          <w:rPr>
            <w:rStyle w:val="Enlla"/>
            <w:rFonts w:asciiTheme="minorHAnsi" w:hAnsiTheme="minorHAnsi" w:cstheme="minorHAnsi"/>
            <w:color w:val="auto"/>
            <w:lang w:val="es-ES_tradnl"/>
          </w:rPr>
          <w:t>Estadísticas e indicadores financieros, apartado de “Otros indicadores financieros”</w:t>
        </w:r>
      </w:hyperlink>
      <w:r w:rsidR="002F6649" w:rsidRPr="00E43F78">
        <w:rPr>
          <w:rFonts w:asciiTheme="minorHAnsi" w:hAnsiTheme="minorHAnsi" w:cstheme="minorHAnsi"/>
          <w:color w:val="auto"/>
          <w:lang w:val="es-ES_tradnl"/>
        </w:rPr>
        <w:t xml:space="preserve">  </w:t>
      </w:r>
    </w:p>
    <w:p w14:paraId="4A68355A" w14:textId="13EE96A7" w:rsidR="002F6649" w:rsidRPr="00E43F78" w:rsidRDefault="00124263" w:rsidP="000779E3">
      <w:pPr>
        <w:pStyle w:val="Pargrafdellista"/>
        <w:numPr>
          <w:ilvl w:val="0"/>
          <w:numId w:val="26"/>
        </w:numPr>
        <w:spacing w:before="120" w:after="120"/>
        <w:rPr>
          <w:rFonts w:asciiTheme="minorHAnsi" w:hAnsiTheme="minorHAnsi" w:cstheme="minorHAnsi"/>
          <w:color w:val="auto"/>
          <w:lang w:val="es-ES_tradnl"/>
        </w:rPr>
      </w:pPr>
      <w:hyperlink r:id="rId23" w:history="1">
        <w:r w:rsidR="002F6649" w:rsidRPr="00E43F78">
          <w:rPr>
            <w:rStyle w:val="Enlla"/>
            <w:rFonts w:asciiTheme="minorHAnsi" w:hAnsiTheme="minorHAnsi" w:cstheme="minorHAnsi"/>
            <w:color w:val="auto"/>
            <w:lang w:val="es-ES_tradnl"/>
          </w:rPr>
          <w:t>Presupuestos Abiertos, apartado de “Resultados fiscales”</w:t>
        </w:r>
      </w:hyperlink>
    </w:p>
    <w:p w14:paraId="15C9AD9E" w14:textId="7F26ACF6" w:rsidR="007D3B35" w:rsidRPr="00E43F78" w:rsidRDefault="007D3B35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b/>
          <w:color w:val="auto"/>
          <w:sz w:val="32"/>
          <w:szCs w:val="32"/>
          <w:lang w:val="es-ES_tradnl"/>
        </w:rPr>
      </w:pPr>
    </w:p>
    <w:p w14:paraId="09C649FD" w14:textId="77777777" w:rsidR="00A04C93" w:rsidRPr="00E43F78" w:rsidRDefault="00A04C93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b/>
          <w:color w:val="auto"/>
          <w:sz w:val="32"/>
          <w:szCs w:val="32"/>
          <w:lang w:val="es-ES_tradnl"/>
        </w:rPr>
      </w:pPr>
    </w:p>
    <w:p w14:paraId="1DF8CFA1" w14:textId="65F286E2" w:rsidR="002F6649" w:rsidRPr="00E43F78" w:rsidRDefault="002F6649" w:rsidP="000779E3">
      <w:pPr>
        <w:shd w:val="clear" w:color="auto" w:fill="auto"/>
        <w:spacing w:before="120" w:afterLines="100" w:after="240" w:line="276" w:lineRule="auto"/>
        <w:rPr>
          <w:rFonts w:asciiTheme="minorHAnsi" w:hAnsiTheme="minorHAnsi" w:cstheme="minorHAnsi"/>
          <w:b/>
          <w:color w:val="auto"/>
          <w:sz w:val="32"/>
          <w:szCs w:val="32"/>
          <w:lang w:val="es-ES_tradnl"/>
        </w:rPr>
      </w:pPr>
      <w:r w:rsidRPr="00E43F78">
        <w:rPr>
          <w:rFonts w:asciiTheme="minorHAnsi" w:hAnsiTheme="minorHAnsi" w:cstheme="minorHAnsi"/>
          <w:b/>
          <w:color w:val="auto"/>
          <w:sz w:val="32"/>
          <w:szCs w:val="32"/>
          <w:lang w:val="es-ES_tradnl"/>
        </w:rPr>
        <w:lastRenderedPageBreak/>
        <w:t>Límites del debate</w:t>
      </w:r>
    </w:p>
    <w:p w14:paraId="61D4C91B" w14:textId="44DF4D8A" w:rsidR="002F6649" w:rsidRPr="00E43F78" w:rsidRDefault="002F6649" w:rsidP="000779E3">
      <w:pPr>
        <w:shd w:val="clear" w:color="auto" w:fill="auto"/>
        <w:spacing w:before="120" w:afterLines="100" w:after="240" w:line="276" w:lineRule="auto"/>
        <w:rPr>
          <w:color w:val="auto"/>
          <w:lang w:val="es-ES_tradnl"/>
        </w:rPr>
      </w:pPr>
      <w:r w:rsidRPr="00E43F78">
        <w:rPr>
          <w:rFonts w:asciiTheme="minorHAnsi" w:eastAsia="Calibri" w:hAnsiTheme="minorHAnsi" w:cstheme="minorHAnsi"/>
          <w:color w:val="auto"/>
          <w:lang w:val="es-ES_tradnl"/>
        </w:rPr>
        <w:t xml:space="preserve">El principal límite de este eje de debate de circunscribe al </w:t>
      </w:r>
      <w:r w:rsidR="00C85AB0" w:rsidRPr="00E43F78">
        <w:rPr>
          <w:rFonts w:asciiTheme="minorHAnsi" w:eastAsia="Calibri" w:hAnsiTheme="minorHAnsi" w:cstheme="minorHAnsi"/>
          <w:color w:val="auto"/>
          <w:lang w:val="es-ES_tradnl"/>
        </w:rPr>
        <w:t>cumplimiento</w:t>
      </w:r>
      <w:r w:rsidRPr="00E43F78">
        <w:rPr>
          <w:rFonts w:asciiTheme="minorHAnsi" w:eastAsia="Calibri" w:hAnsiTheme="minorHAnsi" w:cstheme="minorHAnsi"/>
          <w:b/>
          <w:color w:val="auto"/>
          <w:lang w:val="es-ES_tradnl"/>
        </w:rPr>
        <w:t xml:space="preserve"> de las leyes y normativa </w:t>
      </w:r>
      <w:r w:rsidRPr="00E43F78">
        <w:rPr>
          <w:rFonts w:asciiTheme="minorHAnsi" w:eastAsia="Calibri" w:hAnsiTheme="minorHAnsi" w:cstheme="minorHAnsi"/>
          <w:color w:val="auto"/>
          <w:lang w:val="es-ES_tradnl"/>
        </w:rPr>
        <w:t xml:space="preserve">en la cual está sujeto la </w:t>
      </w:r>
      <w:r w:rsidRPr="00E43F78">
        <w:rPr>
          <w:rFonts w:asciiTheme="minorHAnsi" w:eastAsia="Calibri" w:hAnsiTheme="minorHAnsi" w:cstheme="minorHAnsi"/>
          <w:b/>
          <w:color w:val="auto"/>
          <w:lang w:val="es-ES_tradnl"/>
        </w:rPr>
        <w:t>Generalitat de Catalunya</w:t>
      </w:r>
      <w:r w:rsidRPr="00E43F78">
        <w:rPr>
          <w:rFonts w:asciiTheme="minorHAnsi" w:eastAsia="Calibri" w:hAnsiTheme="minorHAnsi" w:cstheme="minorHAnsi"/>
          <w:color w:val="auto"/>
          <w:lang w:val="es-ES_tradnl"/>
        </w:rPr>
        <w:t xml:space="preserve">, así como al ámbito de las </w:t>
      </w:r>
      <w:r w:rsidRPr="00E43F78">
        <w:rPr>
          <w:rFonts w:asciiTheme="minorHAnsi" w:eastAsia="Calibri" w:hAnsiTheme="minorHAnsi" w:cstheme="minorHAnsi"/>
          <w:b/>
          <w:color w:val="auto"/>
          <w:lang w:val="es-ES_tradnl"/>
        </w:rPr>
        <w:t>competencias</w:t>
      </w:r>
      <w:r w:rsidRPr="00E43F78">
        <w:rPr>
          <w:rFonts w:asciiTheme="minorHAnsi" w:eastAsia="Calibri" w:hAnsiTheme="minorHAnsi" w:cstheme="minorHAnsi"/>
          <w:color w:val="auto"/>
          <w:lang w:val="es-ES_tradnl"/>
        </w:rPr>
        <w:t xml:space="preserve"> que tiene la Generalitat en las </w:t>
      </w:r>
      <w:r w:rsidRPr="00E43F78">
        <w:rPr>
          <w:rFonts w:asciiTheme="minorHAnsi" w:eastAsia="Calibri" w:hAnsiTheme="minorHAnsi" w:cstheme="minorHAnsi"/>
          <w:b/>
          <w:color w:val="auto"/>
          <w:lang w:val="es-ES_tradnl"/>
        </w:rPr>
        <w:t>políticas sectoriales en las cuales interviene</w:t>
      </w:r>
      <w:r w:rsidRPr="00E43F78">
        <w:rPr>
          <w:rFonts w:asciiTheme="minorHAnsi" w:eastAsia="Calibri" w:hAnsiTheme="minorHAnsi" w:cstheme="minorHAnsi"/>
          <w:color w:val="auto"/>
          <w:lang w:val="es-ES_tradnl"/>
        </w:rPr>
        <w:t>.</w:t>
      </w:r>
    </w:p>
    <w:sectPr w:rsidR="002F6649" w:rsidRPr="00E43F78" w:rsidSect="006B0EC4">
      <w:pgSz w:w="11907" w:h="16840" w:code="9"/>
      <w:pgMar w:top="1985" w:right="1134" w:bottom="1985" w:left="170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B73B6A" w14:textId="77777777" w:rsidR="00F55BE1" w:rsidRDefault="00F55BE1" w:rsidP="005E5E27">
      <w:r>
        <w:separator/>
      </w:r>
    </w:p>
  </w:endnote>
  <w:endnote w:type="continuationSeparator" w:id="0">
    <w:p w14:paraId="76F77558" w14:textId="77777777" w:rsidR="00F55BE1" w:rsidRDefault="00F55BE1" w:rsidP="005E5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3D4A6D" w14:textId="77777777" w:rsidR="00FE39AA" w:rsidRDefault="00FE39AA" w:rsidP="005E5E27">
    <w:pPr>
      <w:pStyle w:val="Peu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end"/>
    </w:r>
  </w:p>
  <w:p w14:paraId="615CD8DD" w14:textId="77777777" w:rsidR="00FE39AA" w:rsidRDefault="00FE39AA" w:rsidP="005E5E27">
    <w:pPr>
      <w:pStyle w:val="Peu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ACB95C" w14:textId="5FF6942C" w:rsidR="00CD6E33" w:rsidRDefault="00F22B55" w:rsidP="00B634C1">
    <w:pPr>
      <w:pStyle w:val="Peu"/>
      <w:tabs>
        <w:tab w:val="clear" w:pos="4680"/>
        <w:tab w:val="clear" w:pos="9360"/>
        <w:tab w:val="left" w:pos="3969"/>
        <w:tab w:val="right" w:pos="9072"/>
      </w:tabs>
      <w:spacing w:after="0"/>
      <w:ind w:hanging="567"/>
    </w:pPr>
    <w:r>
      <w:rPr>
        <w:noProof/>
        <w:lang w:val="en-US"/>
      </w:rPr>
      <w:drawing>
        <wp:inline distT="0" distB="0" distL="0" distR="0" wp14:anchorId="08254BF5" wp14:editId="31C40BCC">
          <wp:extent cx="1234930" cy="317500"/>
          <wp:effectExtent l="0" t="0" r="3810" b="6350"/>
          <wp:docPr id="10" name="Imatge 10" descr="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tge 10" descr="Logotip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0970" cy="3190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sdt>
      <w:sdtPr>
        <w:id w:val="-1794128389"/>
        <w:docPartObj>
          <w:docPartGallery w:val="Page Numbers (Bottom of Page)"/>
          <w:docPartUnique/>
        </w:docPartObj>
      </w:sdtPr>
      <w:sdtEndPr/>
      <w:sdtContent>
        <w:r w:rsidR="00CD6E33">
          <w:fldChar w:fldCharType="begin"/>
        </w:r>
        <w:r w:rsidR="00CD6E33">
          <w:instrText>PAGE   \* MERGEFORMAT</w:instrText>
        </w:r>
        <w:r w:rsidR="00CD6E33">
          <w:fldChar w:fldCharType="separate"/>
        </w:r>
        <w:r w:rsidR="005140E7">
          <w:rPr>
            <w:noProof/>
          </w:rPr>
          <w:t>8</w:t>
        </w:r>
        <w:r w:rsidR="00CD6E33">
          <w:fldChar w:fldCharType="end"/>
        </w:r>
      </w:sdtContent>
    </w:sdt>
    <w:r>
      <w:tab/>
    </w:r>
    <w:r w:rsidR="00CD6E33" w:rsidRPr="00C85AB0">
      <w:rPr>
        <w:b/>
        <w:color w:val="auto"/>
      </w:rPr>
      <w:t>participa.gencat.cat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F44DDA" w14:textId="49B48C55" w:rsidR="006E7EC0" w:rsidRPr="00C85AB0" w:rsidRDefault="00386460" w:rsidP="00B634C1">
    <w:pPr>
      <w:tabs>
        <w:tab w:val="center" w:pos="4395"/>
        <w:tab w:val="right" w:pos="9072"/>
      </w:tabs>
      <w:spacing w:after="0"/>
      <w:ind w:hanging="567"/>
      <w:rPr>
        <w:color w:val="auto"/>
      </w:rPr>
    </w:pPr>
    <w:r>
      <w:rPr>
        <w:noProof/>
        <w:lang w:val="en-US"/>
      </w:rPr>
      <w:drawing>
        <wp:inline distT="0" distB="0" distL="0" distR="0" wp14:anchorId="21C6D0C4" wp14:editId="76038781">
          <wp:extent cx="1273908" cy="343444"/>
          <wp:effectExtent l="0" t="0" r="2540" b="0"/>
          <wp:docPr id="16" name="Imatge 16" descr="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tge 16" descr="Logotip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76" cy="376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E7EC0">
      <w:tab/>
    </w:r>
    <w:sdt>
      <w:sdtPr>
        <w:id w:val="747389193"/>
        <w:docPartObj>
          <w:docPartGallery w:val="Page Numbers (Bottom of Page)"/>
          <w:docPartUnique/>
        </w:docPartObj>
      </w:sdtPr>
      <w:sdtEndPr/>
      <w:sdtContent>
        <w:r w:rsidR="006E7EC0" w:rsidRPr="00386460">
          <w:fldChar w:fldCharType="begin"/>
        </w:r>
        <w:r w:rsidR="006E7EC0" w:rsidRPr="00386460">
          <w:instrText>PAGE   \* MERGEFORMAT</w:instrText>
        </w:r>
        <w:r w:rsidR="006E7EC0" w:rsidRPr="00386460">
          <w:fldChar w:fldCharType="separate"/>
        </w:r>
        <w:r w:rsidR="005140E7">
          <w:rPr>
            <w:noProof/>
          </w:rPr>
          <w:t>1</w:t>
        </w:r>
        <w:r w:rsidR="006E7EC0" w:rsidRPr="00386460">
          <w:fldChar w:fldCharType="end"/>
        </w:r>
      </w:sdtContent>
    </w:sdt>
    <w:r w:rsidR="006E7EC0">
      <w:tab/>
    </w:r>
    <w:hyperlink r:id="rId2" w:history="1">
      <w:r w:rsidR="006E7EC0" w:rsidRPr="00C85AB0">
        <w:rPr>
          <w:rStyle w:val="Enlla"/>
          <w:b/>
          <w:color w:val="auto"/>
          <w:u w:val="none"/>
        </w:rPr>
        <w:t>participa.gencat.cat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B473A0" w14:textId="77777777" w:rsidR="00F55BE1" w:rsidRDefault="00F55BE1" w:rsidP="005E5E27">
      <w:r>
        <w:separator/>
      </w:r>
    </w:p>
  </w:footnote>
  <w:footnote w:type="continuationSeparator" w:id="0">
    <w:p w14:paraId="541B99B6" w14:textId="77777777" w:rsidR="00F55BE1" w:rsidRDefault="00F55BE1" w:rsidP="005E5E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3E0687" w14:textId="13A9BFB1" w:rsidR="00A3503B" w:rsidRDefault="00A204EE" w:rsidP="00386460">
    <w:pPr>
      <w:pStyle w:val="Capalera"/>
    </w:pPr>
    <w:r w:rsidRPr="00635815">
      <w:rPr>
        <w:noProof/>
        <w:lang w:val="en-US"/>
      </w:rPr>
      <w:drawing>
        <wp:inline distT="0" distB="0" distL="0" distR="0" wp14:anchorId="722BB187" wp14:editId="7147D548">
          <wp:extent cx="1672542" cy="484211"/>
          <wp:effectExtent l="0" t="0" r="0" b="0"/>
          <wp:docPr id="7" name="Imatge 7" descr="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tge 7" descr="Logotip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648" cy="493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4552EA" w14:textId="30D4C517" w:rsidR="00692D0F" w:rsidRPr="007333AD" w:rsidRDefault="00BD2689" w:rsidP="00692D0F">
    <w:pPr>
      <w:pStyle w:val="Capalera"/>
      <w:jc w:val="right"/>
      <w:rPr>
        <w:color w:val="auto"/>
      </w:rPr>
    </w:pPr>
    <w:r w:rsidRPr="007333AD">
      <w:rPr>
        <w:color w:val="auto"/>
      </w:rPr>
      <w:t>Eje 1</w:t>
    </w:r>
    <w:r w:rsidR="00692D0F" w:rsidRPr="007333AD">
      <w:rPr>
        <w:color w:val="auto"/>
      </w:rPr>
      <w:t xml:space="preserve">: </w:t>
    </w:r>
    <w:r w:rsidRPr="007333AD">
      <w:rPr>
        <w:color w:val="auto"/>
      </w:rPr>
      <w:t xml:space="preserve">Opciones de </w:t>
    </w:r>
    <w:r w:rsidR="0082772D" w:rsidRPr="007333AD">
      <w:rPr>
        <w:color w:val="auto"/>
      </w:rPr>
      <w:t>trayectorias de reducción de la deuda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696BFB" w14:textId="6DE544DF" w:rsidR="006E7EC0" w:rsidRDefault="00A204EE" w:rsidP="00386460">
    <w:pPr>
      <w:pStyle w:val="Capalera"/>
    </w:pPr>
    <w:r w:rsidRPr="00635815">
      <w:rPr>
        <w:noProof/>
        <w:lang w:val="en-US"/>
      </w:rPr>
      <w:drawing>
        <wp:inline distT="0" distB="0" distL="0" distR="0" wp14:anchorId="0F90243D" wp14:editId="6217B635">
          <wp:extent cx="3669175" cy="1062248"/>
          <wp:effectExtent l="0" t="0" r="0" b="0"/>
          <wp:docPr id="12" name="Imatge 12" descr="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tge 12" descr="Logotip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6799" cy="1073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04BA54"/>
    <w:multiLevelType w:val="hybridMultilevel"/>
    <w:tmpl w:val="3A6EDCA0"/>
    <w:lvl w:ilvl="0" w:tplc="7632E8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22F2B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C9C54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50B6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466A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4AD0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F4C5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AE48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008E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B7F27"/>
    <w:multiLevelType w:val="hybridMultilevel"/>
    <w:tmpl w:val="00DC39DE"/>
    <w:lvl w:ilvl="0" w:tplc="46AA4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AA30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7AD5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83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1294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5CAA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D0A3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DA3D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348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2BFFE"/>
    <w:multiLevelType w:val="hybridMultilevel"/>
    <w:tmpl w:val="2FC616DA"/>
    <w:lvl w:ilvl="0" w:tplc="F788D7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1A08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D013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EEFF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E2BD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0E7C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F857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9201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6C4F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8707D"/>
    <w:multiLevelType w:val="hybridMultilevel"/>
    <w:tmpl w:val="596CDD6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1744A"/>
    <w:multiLevelType w:val="hybridMultilevel"/>
    <w:tmpl w:val="4B707C38"/>
    <w:lvl w:ilvl="0" w:tplc="7BAE3BEE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9E361B9A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30881C98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67C8468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EFA61D6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C666C7E6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58263870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A5D8BD9C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8CEA6B12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BDC2D2E"/>
    <w:multiLevelType w:val="hybridMultilevel"/>
    <w:tmpl w:val="34CCE85C"/>
    <w:lvl w:ilvl="0" w:tplc="B14680B8">
      <w:start w:val="1"/>
      <w:numFmt w:val="lowerLetter"/>
      <w:lvlText w:val="%1)"/>
      <w:lvlJc w:val="left"/>
      <w:pPr>
        <w:ind w:left="720" w:hanging="360"/>
      </w:pPr>
    </w:lvl>
    <w:lvl w:ilvl="1" w:tplc="7B560968">
      <w:start w:val="1"/>
      <w:numFmt w:val="lowerLetter"/>
      <w:lvlText w:val="%2."/>
      <w:lvlJc w:val="left"/>
      <w:pPr>
        <w:ind w:left="1440" w:hanging="360"/>
      </w:pPr>
    </w:lvl>
    <w:lvl w:ilvl="2" w:tplc="3F40E868">
      <w:start w:val="1"/>
      <w:numFmt w:val="lowerRoman"/>
      <w:lvlText w:val="%3."/>
      <w:lvlJc w:val="right"/>
      <w:pPr>
        <w:ind w:left="2160" w:hanging="180"/>
      </w:pPr>
    </w:lvl>
    <w:lvl w:ilvl="3" w:tplc="82B4BE24">
      <w:start w:val="1"/>
      <w:numFmt w:val="decimal"/>
      <w:lvlText w:val="%4."/>
      <w:lvlJc w:val="left"/>
      <w:pPr>
        <w:ind w:left="2880" w:hanging="360"/>
      </w:pPr>
    </w:lvl>
    <w:lvl w:ilvl="4" w:tplc="F4D88AC4">
      <w:start w:val="1"/>
      <w:numFmt w:val="lowerLetter"/>
      <w:lvlText w:val="%5."/>
      <w:lvlJc w:val="left"/>
      <w:pPr>
        <w:ind w:left="3600" w:hanging="360"/>
      </w:pPr>
    </w:lvl>
    <w:lvl w:ilvl="5" w:tplc="13BEC326">
      <w:start w:val="1"/>
      <w:numFmt w:val="lowerRoman"/>
      <w:lvlText w:val="%6."/>
      <w:lvlJc w:val="right"/>
      <w:pPr>
        <w:ind w:left="4320" w:hanging="180"/>
      </w:pPr>
    </w:lvl>
    <w:lvl w:ilvl="6" w:tplc="28442504">
      <w:start w:val="1"/>
      <w:numFmt w:val="decimal"/>
      <w:lvlText w:val="%7."/>
      <w:lvlJc w:val="left"/>
      <w:pPr>
        <w:ind w:left="5040" w:hanging="360"/>
      </w:pPr>
    </w:lvl>
    <w:lvl w:ilvl="7" w:tplc="96828576">
      <w:start w:val="1"/>
      <w:numFmt w:val="lowerLetter"/>
      <w:lvlText w:val="%8."/>
      <w:lvlJc w:val="left"/>
      <w:pPr>
        <w:ind w:left="5760" w:hanging="360"/>
      </w:pPr>
    </w:lvl>
    <w:lvl w:ilvl="8" w:tplc="5E3A324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595D1F"/>
    <w:multiLevelType w:val="hybridMultilevel"/>
    <w:tmpl w:val="2334C762"/>
    <w:lvl w:ilvl="0" w:tplc="A1188542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C374F41E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EBE2BC7C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65E8F880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8D0F7C4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BDC26D20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DEF6016C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EAB0213E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B7F82B0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689DD00"/>
    <w:multiLevelType w:val="hybridMultilevel"/>
    <w:tmpl w:val="9D962756"/>
    <w:lvl w:ilvl="0" w:tplc="791A534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7D48F2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718ED55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F209F3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AE6724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D08E63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27046B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51291C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F36D65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1E4096"/>
    <w:multiLevelType w:val="hybridMultilevel"/>
    <w:tmpl w:val="1CB0E3E0"/>
    <w:lvl w:ilvl="0" w:tplc="955200AC">
      <w:start w:val="1"/>
      <w:numFmt w:val="bullet"/>
      <w:pStyle w:val="Llistapunts2"/>
      <w:lvlText w:val=""/>
      <w:lvlJc w:val="left"/>
      <w:pPr>
        <w:ind w:left="720" w:hanging="360"/>
      </w:pPr>
      <w:rPr>
        <w:rFonts w:ascii="Symbol" w:hAnsi="Symbol" w:hint="default"/>
        <w:color w:val="ED7D31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AD7159"/>
    <w:multiLevelType w:val="hybridMultilevel"/>
    <w:tmpl w:val="825EC18E"/>
    <w:lvl w:ilvl="0" w:tplc="0403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368B5BC1"/>
    <w:multiLevelType w:val="hybridMultilevel"/>
    <w:tmpl w:val="4216A496"/>
    <w:lvl w:ilvl="0" w:tplc="B238B2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CA48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AA50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AA97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BC83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B070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8EE2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843B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10FC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A41B5A"/>
    <w:multiLevelType w:val="hybridMultilevel"/>
    <w:tmpl w:val="AD788148"/>
    <w:lvl w:ilvl="0" w:tplc="05B8D8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A840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A8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4060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F835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F8F3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FA60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9CAA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76FF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58400D"/>
    <w:multiLevelType w:val="hybridMultilevel"/>
    <w:tmpl w:val="0E88EC62"/>
    <w:lvl w:ilvl="0" w:tplc="EF36B5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3ED9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C05B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54FE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B8E5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3658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8EE0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60DE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8CA9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092A86"/>
    <w:multiLevelType w:val="hybridMultilevel"/>
    <w:tmpl w:val="3EA0E33A"/>
    <w:lvl w:ilvl="0" w:tplc="D6980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0A28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049B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FC27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647C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DA90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40F8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E80F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6E30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EC4E27"/>
    <w:multiLevelType w:val="multilevel"/>
    <w:tmpl w:val="83248E80"/>
    <w:lvl w:ilvl="0">
      <w:start w:val="1"/>
      <w:numFmt w:val="bullet"/>
      <w:pStyle w:val="Llistapunts1Darreralnia"/>
      <w:lvlText w:val="o"/>
      <w:lvlJc w:val="left"/>
      <w:pPr>
        <w:ind w:left="928" w:hanging="360"/>
      </w:pPr>
      <w:rPr>
        <w:rFonts w:ascii="Courier New" w:hAnsi="Courier New" w:cs="Courier New" w:hint="default"/>
        <w:b w:val="0"/>
        <w:bCs/>
        <w:i w:val="0"/>
        <w:color w:val="ED7D31" w:themeColor="accent2"/>
        <w:sz w:val="24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5" w15:restartNumberingAfterBreak="0">
    <w:nsid w:val="4EA139C7"/>
    <w:multiLevelType w:val="hybridMultilevel"/>
    <w:tmpl w:val="A37A324A"/>
    <w:lvl w:ilvl="0" w:tplc="040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02C0116"/>
    <w:multiLevelType w:val="hybridMultilevel"/>
    <w:tmpl w:val="B0A4F45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CF6F46"/>
    <w:multiLevelType w:val="hybridMultilevel"/>
    <w:tmpl w:val="09D47938"/>
    <w:lvl w:ilvl="0" w:tplc="EA6CE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C00C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FAF7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720A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AEF6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2279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64F0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EC33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E22A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3229C"/>
    <w:multiLevelType w:val="hybridMultilevel"/>
    <w:tmpl w:val="E5BAD15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2A9D66"/>
    <w:multiLevelType w:val="hybridMultilevel"/>
    <w:tmpl w:val="A394CF0C"/>
    <w:lvl w:ilvl="0" w:tplc="7B6E99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2E23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EA36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5AA8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462B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4A41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F28A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44F9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E6E7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CDD81C"/>
    <w:multiLevelType w:val="hybridMultilevel"/>
    <w:tmpl w:val="87B6F5AC"/>
    <w:lvl w:ilvl="0" w:tplc="7EA4BC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AA7E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D266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7CAE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EE48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4E5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8088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4E48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4CAD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5F5349"/>
    <w:multiLevelType w:val="hybridMultilevel"/>
    <w:tmpl w:val="2F1CC3E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6502E2"/>
    <w:multiLevelType w:val="hybridMultilevel"/>
    <w:tmpl w:val="8562A61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EB48C8"/>
    <w:multiLevelType w:val="hybridMultilevel"/>
    <w:tmpl w:val="D36089A0"/>
    <w:lvl w:ilvl="0" w:tplc="0403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4" w15:restartNumberingAfterBreak="0">
    <w:nsid w:val="737C1F71"/>
    <w:multiLevelType w:val="hybridMultilevel"/>
    <w:tmpl w:val="DDD61EE4"/>
    <w:lvl w:ilvl="0" w:tplc="0403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5" w15:restartNumberingAfterBreak="0">
    <w:nsid w:val="77943601"/>
    <w:multiLevelType w:val="hybridMultilevel"/>
    <w:tmpl w:val="312A5F0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754447">
    <w:abstractNumId w:val="14"/>
  </w:num>
  <w:num w:numId="2" w16cid:durableId="1814102543">
    <w:abstractNumId w:val="8"/>
  </w:num>
  <w:num w:numId="3" w16cid:durableId="1820001716">
    <w:abstractNumId w:val="1"/>
  </w:num>
  <w:num w:numId="4" w16cid:durableId="1473987920">
    <w:abstractNumId w:val="6"/>
  </w:num>
  <w:num w:numId="5" w16cid:durableId="1074546364">
    <w:abstractNumId w:val="5"/>
  </w:num>
  <w:num w:numId="6" w16cid:durableId="641347503">
    <w:abstractNumId w:val="13"/>
  </w:num>
  <w:num w:numId="7" w16cid:durableId="1718436442">
    <w:abstractNumId w:val="4"/>
  </w:num>
  <w:num w:numId="8" w16cid:durableId="897015432">
    <w:abstractNumId w:val="21"/>
  </w:num>
  <w:num w:numId="9" w16cid:durableId="1769807644">
    <w:abstractNumId w:val="16"/>
  </w:num>
  <w:num w:numId="10" w16cid:durableId="844783703">
    <w:abstractNumId w:val="25"/>
  </w:num>
  <w:num w:numId="11" w16cid:durableId="2023820740">
    <w:abstractNumId w:val="7"/>
  </w:num>
  <w:num w:numId="12" w16cid:durableId="1371031662">
    <w:abstractNumId w:val="0"/>
  </w:num>
  <w:num w:numId="13" w16cid:durableId="1922375283">
    <w:abstractNumId w:val="11"/>
  </w:num>
  <w:num w:numId="14" w16cid:durableId="935282348">
    <w:abstractNumId w:val="15"/>
  </w:num>
  <w:num w:numId="15" w16cid:durableId="1808280544">
    <w:abstractNumId w:val="22"/>
  </w:num>
  <w:num w:numId="16" w16cid:durableId="975600317">
    <w:abstractNumId w:val="3"/>
  </w:num>
  <w:num w:numId="17" w16cid:durableId="989137548">
    <w:abstractNumId w:val="23"/>
  </w:num>
  <w:num w:numId="18" w16cid:durableId="270094953">
    <w:abstractNumId w:val="24"/>
  </w:num>
  <w:num w:numId="19" w16cid:durableId="341585767">
    <w:abstractNumId w:val="19"/>
  </w:num>
  <w:num w:numId="20" w16cid:durableId="1913731508">
    <w:abstractNumId w:val="17"/>
  </w:num>
  <w:num w:numId="21" w16cid:durableId="1456943157">
    <w:abstractNumId w:val="9"/>
  </w:num>
  <w:num w:numId="22" w16cid:durableId="932781047">
    <w:abstractNumId w:val="10"/>
  </w:num>
  <w:num w:numId="23" w16cid:durableId="1427381871">
    <w:abstractNumId w:val="2"/>
  </w:num>
  <w:num w:numId="24" w16cid:durableId="1670012434">
    <w:abstractNumId w:val="20"/>
  </w:num>
  <w:num w:numId="25" w16cid:durableId="204568211">
    <w:abstractNumId w:val="12"/>
  </w:num>
  <w:num w:numId="26" w16cid:durableId="60681006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ES_tradnl" w:vendorID="64" w:dllVersion="0" w:nlCheck="1" w:checkStyle="0"/>
  <w:attachedTemplate r:id="rId1"/>
  <w:defaultTabStop w:val="720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E27"/>
    <w:rsid w:val="00000338"/>
    <w:rsid w:val="0000683A"/>
    <w:rsid w:val="00010A3C"/>
    <w:rsid w:val="000533F7"/>
    <w:rsid w:val="000779E3"/>
    <w:rsid w:val="00085B6B"/>
    <w:rsid w:val="0009254E"/>
    <w:rsid w:val="000E6AEA"/>
    <w:rsid w:val="00102587"/>
    <w:rsid w:val="00124263"/>
    <w:rsid w:val="00152244"/>
    <w:rsid w:val="00154C4F"/>
    <w:rsid w:val="00183632"/>
    <w:rsid w:val="00185595"/>
    <w:rsid w:val="001874A5"/>
    <w:rsid w:val="0019428B"/>
    <w:rsid w:val="001A7DEB"/>
    <w:rsid w:val="001E2991"/>
    <w:rsid w:val="0022515B"/>
    <w:rsid w:val="00242B45"/>
    <w:rsid w:val="00257E96"/>
    <w:rsid w:val="00284F32"/>
    <w:rsid w:val="002A3238"/>
    <w:rsid w:val="002C704A"/>
    <w:rsid w:val="002E32A7"/>
    <w:rsid w:val="002E40D6"/>
    <w:rsid w:val="002E5E17"/>
    <w:rsid w:val="002F6649"/>
    <w:rsid w:val="003052C0"/>
    <w:rsid w:val="0032224C"/>
    <w:rsid w:val="0033676E"/>
    <w:rsid w:val="00386460"/>
    <w:rsid w:val="00390CAA"/>
    <w:rsid w:val="003C2FD8"/>
    <w:rsid w:val="003F26E3"/>
    <w:rsid w:val="004336CD"/>
    <w:rsid w:val="004B2206"/>
    <w:rsid w:val="004C0587"/>
    <w:rsid w:val="004E5485"/>
    <w:rsid w:val="004F0509"/>
    <w:rsid w:val="005140E7"/>
    <w:rsid w:val="00540167"/>
    <w:rsid w:val="00556F30"/>
    <w:rsid w:val="00563B05"/>
    <w:rsid w:val="0057075B"/>
    <w:rsid w:val="0057753C"/>
    <w:rsid w:val="005E2B7C"/>
    <w:rsid w:val="005E5E27"/>
    <w:rsid w:val="006247D8"/>
    <w:rsid w:val="00636650"/>
    <w:rsid w:val="006534B0"/>
    <w:rsid w:val="006800B7"/>
    <w:rsid w:val="006814EE"/>
    <w:rsid w:val="006834EC"/>
    <w:rsid w:val="0068656E"/>
    <w:rsid w:val="00692D0F"/>
    <w:rsid w:val="006B0EC4"/>
    <w:rsid w:val="006B6FE9"/>
    <w:rsid w:val="006B75FA"/>
    <w:rsid w:val="006D47EE"/>
    <w:rsid w:val="006E7EC0"/>
    <w:rsid w:val="00714A61"/>
    <w:rsid w:val="007267EE"/>
    <w:rsid w:val="007333AD"/>
    <w:rsid w:val="0077241D"/>
    <w:rsid w:val="007751A3"/>
    <w:rsid w:val="00790E41"/>
    <w:rsid w:val="00797F1A"/>
    <w:rsid w:val="007A10F0"/>
    <w:rsid w:val="007B2E7A"/>
    <w:rsid w:val="007D3B35"/>
    <w:rsid w:val="0080674C"/>
    <w:rsid w:val="008266EC"/>
    <w:rsid w:val="0082772D"/>
    <w:rsid w:val="00864803"/>
    <w:rsid w:val="00864ECA"/>
    <w:rsid w:val="00873626"/>
    <w:rsid w:val="008A1564"/>
    <w:rsid w:val="008A22B5"/>
    <w:rsid w:val="008C2010"/>
    <w:rsid w:val="008E5CB0"/>
    <w:rsid w:val="008F0CE8"/>
    <w:rsid w:val="00932D56"/>
    <w:rsid w:val="00942967"/>
    <w:rsid w:val="00945D2C"/>
    <w:rsid w:val="009628DE"/>
    <w:rsid w:val="009805DB"/>
    <w:rsid w:val="0098370A"/>
    <w:rsid w:val="009B67FD"/>
    <w:rsid w:val="009F1B5E"/>
    <w:rsid w:val="00A04C93"/>
    <w:rsid w:val="00A204EE"/>
    <w:rsid w:val="00A24CC1"/>
    <w:rsid w:val="00A3503B"/>
    <w:rsid w:val="00A4210B"/>
    <w:rsid w:val="00A81D43"/>
    <w:rsid w:val="00AC0863"/>
    <w:rsid w:val="00AC2F72"/>
    <w:rsid w:val="00AC66DA"/>
    <w:rsid w:val="00AF3382"/>
    <w:rsid w:val="00AF49BB"/>
    <w:rsid w:val="00B02231"/>
    <w:rsid w:val="00B26546"/>
    <w:rsid w:val="00B54042"/>
    <w:rsid w:val="00B634C1"/>
    <w:rsid w:val="00B71D13"/>
    <w:rsid w:val="00B73972"/>
    <w:rsid w:val="00B97A16"/>
    <w:rsid w:val="00BA23C3"/>
    <w:rsid w:val="00BA23D9"/>
    <w:rsid w:val="00BB24BB"/>
    <w:rsid w:val="00BD2689"/>
    <w:rsid w:val="00BD5117"/>
    <w:rsid w:val="00BE0583"/>
    <w:rsid w:val="00C03299"/>
    <w:rsid w:val="00C13256"/>
    <w:rsid w:val="00C85AB0"/>
    <w:rsid w:val="00C8676D"/>
    <w:rsid w:val="00CC0362"/>
    <w:rsid w:val="00CC5EA7"/>
    <w:rsid w:val="00CD556E"/>
    <w:rsid w:val="00CD6E33"/>
    <w:rsid w:val="00CF5C7D"/>
    <w:rsid w:val="00CF65BB"/>
    <w:rsid w:val="00D16569"/>
    <w:rsid w:val="00D43525"/>
    <w:rsid w:val="00D924C9"/>
    <w:rsid w:val="00DC1C08"/>
    <w:rsid w:val="00DE40C3"/>
    <w:rsid w:val="00DF5061"/>
    <w:rsid w:val="00DF6677"/>
    <w:rsid w:val="00E245C7"/>
    <w:rsid w:val="00E24A7D"/>
    <w:rsid w:val="00E26626"/>
    <w:rsid w:val="00E43F78"/>
    <w:rsid w:val="00E447ED"/>
    <w:rsid w:val="00E9220B"/>
    <w:rsid w:val="00EB33F5"/>
    <w:rsid w:val="00EB356C"/>
    <w:rsid w:val="00EE3EEC"/>
    <w:rsid w:val="00F1713A"/>
    <w:rsid w:val="00F22B55"/>
    <w:rsid w:val="00F55BE1"/>
    <w:rsid w:val="00F71E95"/>
    <w:rsid w:val="00F85F05"/>
    <w:rsid w:val="00FB3015"/>
    <w:rsid w:val="00FC19D2"/>
    <w:rsid w:val="00FC3325"/>
    <w:rsid w:val="00FE39AA"/>
    <w:rsid w:val="0CEEA3AD"/>
    <w:rsid w:val="12D4C024"/>
    <w:rsid w:val="20240A25"/>
    <w:rsid w:val="36AE7C30"/>
    <w:rsid w:val="3CD89D97"/>
    <w:rsid w:val="532895FF"/>
    <w:rsid w:val="56034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7E8A6882"/>
  <w15:chartTrackingRefBased/>
  <w15:docId w15:val="{432A3539-515D-4D94-9D5B-F2AFF330C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6649"/>
    <w:pPr>
      <w:shd w:val="clear" w:color="auto" w:fill="FFFFFF"/>
      <w:spacing w:after="200" w:line="264" w:lineRule="auto"/>
    </w:pPr>
    <w:rPr>
      <w:rFonts w:ascii="Arial" w:eastAsia="Times New Roman" w:hAnsi="Arial" w:cs="Arial"/>
      <w:color w:val="000000" w:themeColor="text1"/>
      <w:sz w:val="22"/>
      <w:szCs w:val="22"/>
    </w:rPr>
  </w:style>
  <w:style w:type="paragraph" w:styleId="Ttol1">
    <w:name w:val="heading 1"/>
    <w:basedOn w:val="Normal"/>
    <w:next w:val="Normal"/>
    <w:link w:val="Ttol1Car"/>
    <w:uiPriority w:val="9"/>
    <w:qFormat/>
    <w:rsid w:val="00B634C1"/>
    <w:pPr>
      <w:pageBreakBefore/>
      <w:pBdr>
        <w:top w:val="single" w:sz="8" w:space="10" w:color="ED7D31"/>
      </w:pBdr>
      <w:spacing w:after="360"/>
      <w:outlineLvl w:val="0"/>
    </w:pPr>
    <w:rPr>
      <w:b/>
      <w:sz w:val="44"/>
      <w:szCs w:val="32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5E5E27"/>
    <w:pPr>
      <w:spacing w:before="480"/>
      <w:outlineLvl w:val="1"/>
    </w:pPr>
    <w:rPr>
      <w:b/>
      <w:color w:val="ED7D31" w:themeColor="accent2"/>
      <w:sz w:val="36"/>
      <w:szCs w:val="36"/>
    </w:rPr>
  </w:style>
  <w:style w:type="paragraph" w:styleId="Ttol3">
    <w:name w:val="heading 3"/>
    <w:basedOn w:val="Normal"/>
    <w:next w:val="Normal"/>
    <w:link w:val="Ttol3Car"/>
    <w:uiPriority w:val="9"/>
    <w:unhideWhenUsed/>
    <w:qFormat/>
    <w:rsid w:val="00B634C1"/>
    <w:pPr>
      <w:spacing w:before="480" w:after="120"/>
      <w:outlineLvl w:val="2"/>
    </w:pPr>
    <w:rPr>
      <w:color w:val="595959" w:themeColor="text1" w:themeTint="A6"/>
      <w:sz w:val="36"/>
    </w:rPr>
  </w:style>
  <w:style w:type="paragraph" w:styleId="Ttol4">
    <w:name w:val="heading 4"/>
    <w:basedOn w:val="Normal"/>
    <w:next w:val="Normal"/>
    <w:link w:val="Ttol4Car"/>
    <w:uiPriority w:val="9"/>
    <w:unhideWhenUsed/>
    <w:qFormat/>
    <w:rsid w:val="00386460"/>
    <w:pPr>
      <w:spacing w:before="360" w:after="120"/>
      <w:outlineLvl w:val="3"/>
    </w:pPr>
    <w:rPr>
      <w:b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A3503B"/>
    <w:pPr>
      <w:tabs>
        <w:tab w:val="center" w:pos="4680"/>
        <w:tab w:val="right" w:pos="9360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A3503B"/>
  </w:style>
  <w:style w:type="paragraph" w:styleId="Peu">
    <w:name w:val="footer"/>
    <w:basedOn w:val="Normal"/>
    <w:link w:val="PeuCar"/>
    <w:uiPriority w:val="99"/>
    <w:unhideWhenUsed/>
    <w:rsid w:val="00A3503B"/>
    <w:pPr>
      <w:tabs>
        <w:tab w:val="center" w:pos="4680"/>
        <w:tab w:val="right" w:pos="9360"/>
      </w:tabs>
    </w:pPr>
  </w:style>
  <w:style w:type="character" w:customStyle="1" w:styleId="PeuCar">
    <w:name w:val="Peu Car"/>
    <w:basedOn w:val="Lletraperdefectedelpargraf"/>
    <w:link w:val="Peu"/>
    <w:uiPriority w:val="99"/>
    <w:rsid w:val="00A3503B"/>
  </w:style>
  <w:style w:type="character" w:styleId="Nmerodepgina">
    <w:name w:val="page number"/>
    <w:basedOn w:val="Lletraperdefectedelpargraf"/>
    <w:uiPriority w:val="99"/>
    <w:semiHidden/>
    <w:unhideWhenUsed/>
    <w:rsid w:val="00FE39AA"/>
  </w:style>
  <w:style w:type="paragraph" w:customStyle="1" w:styleId="m1538649255665353656msolistparagraph">
    <w:name w:val="m_1538649255665353656msolistparagraph"/>
    <w:basedOn w:val="Normal"/>
    <w:rsid w:val="00FE39AA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Pargrafdellista">
    <w:name w:val="List Paragraph"/>
    <w:basedOn w:val="Normal"/>
    <w:uiPriority w:val="34"/>
    <w:qFormat/>
    <w:rsid w:val="004C0587"/>
    <w:pPr>
      <w:ind w:left="720"/>
      <w:contextualSpacing/>
    </w:pPr>
  </w:style>
  <w:style w:type="character" w:customStyle="1" w:styleId="Ttol1Car">
    <w:name w:val="Títol 1 Car"/>
    <w:basedOn w:val="Lletraperdefectedelpargraf"/>
    <w:link w:val="Ttol1"/>
    <w:uiPriority w:val="9"/>
    <w:rsid w:val="00B634C1"/>
    <w:rPr>
      <w:rFonts w:ascii="Arial" w:eastAsia="Times New Roman" w:hAnsi="Arial" w:cs="Arial"/>
      <w:b/>
      <w:color w:val="000000" w:themeColor="text1"/>
      <w:sz w:val="44"/>
      <w:szCs w:val="32"/>
      <w:shd w:val="clear" w:color="auto" w:fill="FFFFFF"/>
    </w:rPr>
  </w:style>
  <w:style w:type="character" w:customStyle="1" w:styleId="Ttol2Car">
    <w:name w:val="Títol 2 Car"/>
    <w:basedOn w:val="Lletraperdefectedelpargraf"/>
    <w:link w:val="Ttol2"/>
    <w:uiPriority w:val="9"/>
    <w:rsid w:val="005E5E27"/>
    <w:rPr>
      <w:rFonts w:ascii="Arial" w:eastAsia="Times New Roman" w:hAnsi="Arial" w:cs="Arial"/>
      <w:b/>
      <w:color w:val="ED7D31" w:themeColor="accent2"/>
      <w:sz w:val="36"/>
      <w:szCs w:val="36"/>
      <w:shd w:val="clear" w:color="auto" w:fill="FFFFFF"/>
    </w:rPr>
  </w:style>
  <w:style w:type="character" w:customStyle="1" w:styleId="Ttol3Car">
    <w:name w:val="Títol 3 Car"/>
    <w:basedOn w:val="Lletraperdefectedelpargraf"/>
    <w:link w:val="Ttol3"/>
    <w:uiPriority w:val="9"/>
    <w:rsid w:val="00B634C1"/>
    <w:rPr>
      <w:rFonts w:ascii="Arial" w:eastAsia="Times New Roman" w:hAnsi="Arial" w:cs="Arial"/>
      <w:color w:val="595959" w:themeColor="text1" w:themeTint="A6"/>
      <w:sz w:val="36"/>
      <w:szCs w:val="22"/>
      <w:shd w:val="clear" w:color="auto" w:fill="FFFFFF"/>
    </w:rPr>
  </w:style>
  <w:style w:type="character" w:customStyle="1" w:styleId="Ttol4Car">
    <w:name w:val="Títol 4 Car"/>
    <w:basedOn w:val="Lletraperdefectedelpargraf"/>
    <w:link w:val="Ttol4"/>
    <w:uiPriority w:val="9"/>
    <w:rsid w:val="00386460"/>
    <w:rPr>
      <w:rFonts w:ascii="Arial" w:eastAsia="Times New Roman" w:hAnsi="Arial" w:cs="Arial"/>
      <w:b/>
      <w:color w:val="000000" w:themeColor="text1"/>
      <w:sz w:val="22"/>
      <w:szCs w:val="22"/>
      <w:shd w:val="clear" w:color="auto" w:fill="FFFFFF"/>
    </w:rPr>
  </w:style>
  <w:style w:type="paragraph" w:customStyle="1" w:styleId="Destacat">
    <w:name w:val="Destacat"/>
    <w:basedOn w:val="Normal"/>
    <w:qFormat/>
    <w:rsid w:val="00B634C1"/>
    <w:pPr>
      <w:pBdr>
        <w:top w:val="single" w:sz="4" w:space="5" w:color="ED7D31"/>
        <w:left w:val="single" w:sz="4" w:space="4" w:color="ED7D31"/>
        <w:bottom w:val="single" w:sz="4" w:space="5" w:color="ED7D31"/>
        <w:right w:val="single" w:sz="4" w:space="4" w:color="ED7D31"/>
      </w:pBdr>
      <w:shd w:val="pct5" w:color="auto" w:fill="FFFFFF"/>
      <w:spacing w:before="360" w:after="360"/>
    </w:pPr>
    <w:rPr>
      <w:b/>
    </w:rPr>
  </w:style>
  <w:style w:type="paragraph" w:customStyle="1" w:styleId="Llistapunts2">
    <w:name w:val="Llista punts 2"/>
    <w:basedOn w:val="Pargrafdellista"/>
    <w:qFormat/>
    <w:rsid w:val="00386460"/>
    <w:pPr>
      <w:numPr>
        <w:numId w:val="2"/>
      </w:numPr>
      <w:spacing w:after="120"/>
      <w:ind w:left="714" w:hanging="357"/>
    </w:pPr>
  </w:style>
  <w:style w:type="paragraph" w:customStyle="1" w:styleId="Listapunts2Darreralnia">
    <w:name w:val="Lista punts 2 Darrera línia"/>
    <w:basedOn w:val="Llistapunts2"/>
    <w:qFormat/>
    <w:rsid w:val="00386460"/>
    <w:pPr>
      <w:spacing w:after="360"/>
      <w:contextualSpacing w:val="0"/>
    </w:pPr>
  </w:style>
  <w:style w:type="paragraph" w:customStyle="1" w:styleId="Llistapunts1">
    <w:name w:val="Llista punts 1"/>
    <w:basedOn w:val="Pargrafdellista"/>
    <w:qFormat/>
    <w:rsid w:val="00386460"/>
    <w:pPr>
      <w:spacing w:after="120"/>
      <w:ind w:left="284" w:hanging="284"/>
      <w:contextualSpacing w:val="0"/>
    </w:pPr>
  </w:style>
  <w:style w:type="paragraph" w:customStyle="1" w:styleId="Llistapunts1Darreralnia">
    <w:name w:val="Llista punts 1 Darrera línia"/>
    <w:basedOn w:val="Pargrafdellista"/>
    <w:qFormat/>
    <w:rsid w:val="00386460"/>
    <w:pPr>
      <w:numPr>
        <w:numId w:val="1"/>
      </w:numPr>
      <w:ind w:left="284" w:hanging="284"/>
      <w:contextualSpacing w:val="0"/>
    </w:pPr>
  </w:style>
  <w:style w:type="paragraph" w:styleId="TtoldelIDC">
    <w:name w:val="TOC Heading"/>
    <w:next w:val="Normal"/>
    <w:uiPriority w:val="39"/>
    <w:unhideWhenUsed/>
    <w:qFormat/>
    <w:rsid w:val="00B634C1"/>
    <w:pPr>
      <w:keepNext/>
      <w:keepLines/>
      <w:spacing w:before="240" w:after="36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IDC1">
    <w:name w:val="toc 1"/>
    <w:basedOn w:val="Normal"/>
    <w:next w:val="Normal"/>
    <w:autoRedefine/>
    <w:uiPriority w:val="39"/>
    <w:unhideWhenUsed/>
    <w:rsid w:val="00932D56"/>
    <w:pPr>
      <w:spacing w:before="240" w:after="100"/>
    </w:pPr>
    <w:rPr>
      <w:b/>
    </w:rPr>
  </w:style>
  <w:style w:type="paragraph" w:styleId="IDC2">
    <w:name w:val="toc 2"/>
    <w:basedOn w:val="Normal"/>
    <w:next w:val="Normal"/>
    <w:autoRedefine/>
    <w:uiPriority w:val="39"/>
    <w:unhideWhenUsed/>
    <w:rsid w:val="00932D56"/>
    <w:pPr>
      <w:spacing w:after="120"/>
    </w:pPr>
  </w:style>
  <w:style w:type="paragraph" w:styleId="IDC3">
    <w:name w:val="toc 3"/>
    <w:basedOn w:val="Normal"/>
    <w:next w:val="Normal"/>
    <w:autoRedefine/>
    <w:uiPriority w:val="39"/>
    <w:unhideWhenUsed/>
    <w:rsid w:val="00932D56"/>
    <w:pPr>
      <w:spacing w:after="100"/>
      <w:ind w:left="227"/>
    </w:pPr>
  </w:style>
  <w:style w:type="character" w:styleId="Enlla">
    <w:name w:val="Hyperlink"/>
    <w:basedOn w:val="Lletraperdefectedelpargraf"/>
    <w:uiPriority w:val="99"/>
    <w:unhideWhenUsed/>
    <w:rsid w:val="00386460"/>
    <w:rPr>
      <w:color w:val="0563C1" w:themeColor="hyperlink"/>
      <w:u w:val="single"/>
    </w:rPr>
  </w:style>
  <w:style w:type="paragraph" w:customStyle="1" w:styleId="Enllacparticipa">
    <w:name w:val="Enllac_participa"/>
    <w:qFormat/>
    <w:rsid w:val="00386460"/>
    <w:pPr>
      <w:ind w:hanging="567"/>
    </w:pPr>
    <w:rPr>
      <w:rFonts w:ascii="Arial" w:eastAsia="Times New Roman" w:hAnsi="Arial" w:cs="Arial"/>
      <w:b/>
      <w:color w:val="ED7D31"/>
      <w:sz w:val="22"/>
      <w:szCs w:val="22"/>
    </w:rPr>
  </w:style>
  <w:style w:type="paragraph" w:customStyle="1" w:styleId="Textavs">
    <w:name w:val="Text avís"/>
    <w:basedOn w:val="Normal"/>
    <w:qFormat/>
    <w:rsid w:val="00932D56"/>
    <w:pPr>
      <w:pBdr>
        <w:top w:val="single" w:sz="8" w:space="11" w:color="ED7D31"/>
        <w:left w:val="single" w:sz="8" w:space="11" w:color="ED7D31"/>
        <w:bottom w:val="single" w:sz="8" w:space="11" w:color="ED7D31"/>
        <w:right w:val="single" w:sz="8" w:space="11" w:color="ED7D31"/>
      </w:pBdr>
      <w:shd w:val="clear" w:color="auto" w:fill="FFF2CC" w:themeFill="accent4" w:themeFillTint="33"/>
      <w:spacing w:before="240" w:after="240"/>
      <w:ind w:left="170" w:right="170"/>
    </w:pPr>
    <w:rPr>
      <w:color w:val="404040" w:themeColor="text1" w:themeTint="BF"/>
      <w:sz w:val="20"/>
    </w:rPr>
  </w:style>
  <w:style w:type="table" w:styleId="Taulaambquadrcula">
    <w:name w:val="Table Grid"/>
    <w:basedOn w:val="Taulanormal"/>
    <w:uiPriority w:val="39"/>
    <w:rsid w:val="00714A6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6534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6534B0"/>
    <w:rPr>
      <w:rFonts w:ascii="Segoe UI" w:eastAsia="Times New Roman" w:hAnsi="Segoe UI" w:cs="Segoe UI"/>
      <w:color w:val="000000" w:themeColor="text1"/>
      <w:sz w:val="18"/>
      <w:szCs w:val="18"/>
      <w:shd w:val="clear" w:color="auto" w:fill="FFFFFF"/>
    </w:rPr>
  </w:style>
  <w:style w:type="character" w:styleId="Refernciadecomentari">
    <w:name w:val="annotation reference"/>
    <w:basedOn w:val="Lletraperdefectedelpargraf"/>
    <w:uiPriority w:val="99"/>
    <w:semiHidden/>
    <w:unhideWhenUsed/>
    <w:rsid w:val="006534B0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6534B0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semiHidden/>
    <w:rsid w:val="006534B0"/>
    <w:rPr>
      <w:rFonts w:ascii="Arial" w:eastAsia="Times New Roman" w:hAnsi="Arial" w:cs="Arial"/>
      <w:color w:val="000000" w:themeColor="text1"/>
      <w:sz w:val="20"/>
      <w:szCs w:val="20"/>
      <w:shd w:val="clear" w:color="auto" w:fill="FFFFFF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6534B0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6534B0"/>
    <w:rPr>
      <w:rFonts w:ascii="Arial" w:eastAsia="Times New Roman" w:hAnsi="Arial" w:cs="Arial"/>
      <w:b/>
      <w:bCs/>
      <w:color w:val="000000" w:themeColor="text1"/>
      <w:sz w:val="20"/>
      <w:szCs w:val="2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50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package" Target="embeddings/Microsoft_Excel_Worksheet.xlsx"/><Relationship Id="rId3" Type="http://schemas.openxmlformats.org/officeDocument/2006/relationships/customXml" Target="../customXml/item3.xml"/><Relationship Id="rId21" Type="http://schemas.openxmlformats.org/officeDocument/2006/relationships/hyperlink" Target="https://economia.gencat.cat/ca/ambits-actuacio/relacio-inversors/endeutament/evolucio-i-ratios/endeutament-sector-public/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economia.gencat.cat/ca/ambits-actuacio/analisi-finances-publiques/estabilitat-sostenibilitat-finances/objectius-seguiment-estabilitat-sostenibilitat-financera/deute-public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hyperlink" Target="https://app.powerbi.com/view?r=eyJrIjoiZWYwMjQ1NDYtMzZmZi00ODM0LWE1MGUtODI0ZjdkNzkyNzBhIiwidCI6IjNiOTQyN2RjLWQzMGUtNDNiYy04YzA2LWZmNzI1MzY3NmZlYyIsImMiOjh9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economia.gencat.cat/ca/ambits-actuacio/analisi-finances-publiques/estadistiques-indicadors-financers/altres-indicadors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rticipa.gencat.cat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6764717J\AppData\Local\Microsoft\Windows\INetCache\Content.Outlook\N73GLSBK\PlantillaExteriors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03.FITXERS.CTTI.INTRANET.GENCAT.CAT\0301_EIFBCN001W_DGPRES$\COORD\Reforma%20i%20millora%20pressupost&#224;ria\Participaci&#243;%20en%20els%20pressupostos\Proves%20pilot%20debats\Opcions%20eixos%20de%20deba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a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ca-ES" sz="1200" b="1"/>
              <a:t>Opcions de trajectòries de reducció del deute</a:t>
            </a:r>
          </a:p>
        </c:rich>
      </c:tx>
      <c:layout>
        <c:manualLayout>
          <c:xMode val="edge"/>
          <c:yMode val="edge"/>
          <c:x val="0.12050875936615912"/>
          <c:y val="4.96322228840702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a-ES"/>
        </a:p>
      </c:txPr>
    </c:title>
    <c:autoTitleDeleted val="0"/>
    <c:plotArea>
      <c:layout>
        <c:manualLayout>
          <c:layoutTarget val="inner"/>
          <c:xMode val="edge"/>
          <c:yMode val="edge"/>
          <c:x val="6.7296546260117315E-2"/>
          <c:y val="0.12884252891315165"/>
          <c:w val="0.90717717757225202"/>
          <c:h val="0.65150743099787689"/>
        </c:manualLayout>
      </c:layout>
      <c:lineChart>
        <c:grouping val="standard"/>
        <c:varyColors val="0"/>
        <c:ser>
          <c:idx val="0"/>
          <c:order val="0"/>
          <c:tx>
            <c:strRef>
              <c:f>'Eix 1 gràfic opcions'!$C$6</c:f>
              <c:strCache>
                <c:ptCount val="1"/>
                <c:pt idx="0">
                  <c:v>Opció 1</c:v>
                </c:pt>
              </c:strCache>
            </c:strRef>
          </c:tx>
          <c:spPr>
            <a:ln w="5080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'Eix 1 gràfic opcions'!$D$5:$AH$5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</c:numCache>
            </c:numRef>
          </c:cat>
          <c:val>
            <c:numRef>
              <c:f>'Eix 1 gràfic opcions'!$D$6:$AC$6</c:f>
              <c:numCache>
                <c:formatCode>0.00</c:formatCode>
                <c:ptCount val="26"/>
                <c:pt idx="0" formatCode="General">
                  <c:v>34.4</c:v>
                </c:pt>
                <c:pt idx="1">
                  <c:v>32.15</c:v>
                </c:pt>
                <c:pt idx="2">
                  <c:v>29.9</c:v>
                </c:pt>
                <c:pt idx="3">
                  <c:v>27.65</c:v>
                </c:pt>
                <c:pt idx="4">
                  <c:v>25.4</c:v>
                </c:pt>
                <c:pt idx="5">
                  <c:v>23.15</c:v>
                </c:pt>
                <c:pt idx="6">
                  <c:v>22.327777777777776</c:v>
                </c:pt>
                <c:pt idx="7">
                  <c:v>21.505555555555553</c:v>
                </c:pt>
                <c:pt idx="8">
                  <c:v>20.68333333333333</c:v>
                </c:pt>
                <c:pt idx="9">
                  <c:v>19.861111111111107</c:v>
                </c:pt>
                <c:pt idx="10">
                  <c:v>19.038888888888884</c:v>
                </c:pt>
                <c:pt idx="11">
                  <c:v>18.216666666666661</c:v>
                </c:pt>
                <c:pt idx="12">
                  <c:v>17.394444444444439</c:v>
                </c:pt>
                <c:pt idx="13">
                  <c:v>16.572222222222216</c:v>
                </c:pt>
                <c:pt idx="14">
                  <c:v>15.749999999999993</c:v>
                </c:pt>
                <c:pt idx="15">
                  <c:v>14.999999999999993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1F6F-4400-9CD0-D29AFAD829D3}"/>
            </c:ext>
          </c:extLst>
        </c:ser>
        <c:ser>
          <c:idx val="1"/>
          <c:order val="1"/>
          <c:tx>
            <c:strRef>
              <c:f>'Eix 1 gràfic opcions'!$C$7</c:f>
              <c:strCache>
                <c:ptCount val="1"/>
                <c:pt idx="0">
                  <c:v>Opció 2</c:v>
                </c:pt>
              </c:strCache>
            </c:strRef>
          </c:tx>
          <c:spPr>
            <a:ln w="5080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'Eix 1 gràfic opcions'!$D$5:$AH$5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</c:numCache>
            </c:numRef>
          </c:cat>
          <c:val>
            <c:numRef>
              <c:f>'Eix 1 gràfic opcions'!$D$7:$AC$7</c:f>
              <c:numCache>
                <c:formatCode>0.00</c:formatCode>
                <c:ptCount val="26"/>
                <c:pt idx="0" formatCode="General">
                  <c:v>34.4</c:v>
                </c:pt>
                <c:pt idx="1">
                  <c:v>33.43</c:v>
                </c:pt>
                <c:pt idx="2">
                  <c:v>32.46</c:v>
                </c:pt>
                <c:pt idx="3">
                  <c:v>31.490000000000002</c:v>
                </c:pt>
                <c:pt idx="4">
                  <c:v>30.520000000000003</c:v>
                </c:pt>
                <c:pt idx="5">
                  <c:v>29.550000000000004</c:v>
                </c:pt>
                <c:pt idx="6">
                  <c:v>28.580000000000005</c:v>
                </c:pt>
                <c:pt idx="7">
                  <c:v>27.610000000000007</c:v>
                </c:pt>
                <c:pt idx="8">
                  <c:v>26.640000000000008</c:v>
                </c:pt>
                <c:pt idx="9">
                  <c:v>25.670000000000009</c:v>
                </c:pt>
                <c:pt idx="10">
                  <c:v>24.70000000000001</c:v>
                </c:pt>
                <c:pt idx="11">
                  <c:v>23.730000000000011</c:v>
                </c:pt>
                <c:pt idx="12">
                  <c:v>22.760000000000012</c:v>
                </c:pt>
                <c:pt idx="13">
                  <c:v>21.790000000000013</c:v>
                </c:pt>
                <c:pt idx="14">
                  <c:v>20.820000000000014</c:v>
                </c:pt>
                <c:pt idx="15">
                  <c:v>19.850000000000016</c:v>
                </c:pt>
                <c:pt idx="16">
                  <c:v>18.880000000000017</c:v>
                </c:pt>
                <c:pt idx="17">
                  <c:v>17.910000000000018</c:v>
                </c:pt>
                <c:pt idx="18">
                  <c:v>16.940000000000019</c:v>
                </c:pt>
                <c:pt idx="19">
                  <c:v>15.970000000000018</c:v>
                </c:pt>
                <c:pt idx="20">
                  <c:v>15.000000000000018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1F6F-4400-9CD0-D29AFAD829D3}"/>
            </c:ext>
          </c:extLst>
        </c:ser>
        <c:ser>
          <c:idx val="2"/>
          <c:order val="2"/>
          <c:tx>
            <c:strRef>
              <c:f>'Eix 1 gràfic opcions'!$C$8</c:f>
              <c:strCache>
                <c:ptCount val="1"/>
                <c:pt idx="0">
                  <c:v>Opció 3</c:v>
                </c:pt>
              </c:strCache>
            </c:strRef>
          </c:tx>
          <c:spPr>
            <a:ln w="5080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'Eix 1 gràfic opcions'!$D$5:$AH$5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</c:numCache>
            </c:numRef>
          </c:cat>
          <c:val>
            <c:numRef>
              <c:f>'Eix 1 gràfic opcions'!$D$8:$AC$8</c:f>
              <c:numCache>
                <c:formatCode>0.00</c:formatCode>
                <c:ptCount val="26"/>
                <c:pt idx="0" formatCode="General">
                  <c:v>34.4</c:v>
                </c:pt>
                <c:pt idx="1">
                  <c:v>33.681481481481477</c:v>
                </c:pt>
                <c:pt idx="2">
                  <c:v>32.962962962962955</c:v>
                </c:pt>
                <c:pt idx="3">
                  <c:v>32.244444444444433</c:v>
                </c:pt>
                <c:pt idx="4">
                  <c:v>31.525925925925915</c:v>
                </c:pt>
                <c:pt idx="5">
                  <c:v>30.807407407407396</c:v>
                </c:pt>
                <c:pt idx="6">
                  <c:v>30.088888888888878</c:v>
                </c:pt>
                <c:pt idx="7">
                  <c:v>29.37037037037036</c:v>
                </c:pt>
                <c:pt idx="8">
                  <c:v>28.651851851851841</c:v>
                </c:pt>
                <c:pt idx="9">
                  <c:v>27.933333333333323</c:v>
                </c:pt>
                <c:pt idx="10">
                  <c:v>27.214814814814805</c:v>
                </c:pt>
                <c:pt idx="11">
                  <c:v>26.496296296296286</c:v>
                </c:pt>
                <c:pt idx="12">
                  <c:v>25.777777777777768</c:v>
                </c:pt>
                <c:pt idx="13">
                  <c:v>25.05925925925925</c:v>
                </c:pt>
                <c:pt idx="14">
                  <c:v>24.340740740740731</c:v>
                </c:pt>
                <c:pt idx="15">
                  <c:v>23.622222222222213</c:v>
                </c:pt>
                <c:pt idx="16">
                  <c:v>22.903703703703695</c:v>
                </c:pt>
                <c:pt idx="17">
                  <c:v>22.185185185185176</c:v>
                </c:pt>
                <c:pt idx="18">
                  <c:v>21.466666666666658</c:v>
                </c:pt>
                <c:pt idx="19">
                  <c:v>20.74814814814814</c:v>
                </c:pt>
                <c:pt idx="20">
                  <c:v>20.029629629629621</c:v>
                </c:pt>
                <c:pt idx="21">
                  <c:v>19.311111111111103</c:v>
                </c:pt>
                <c:pt idx="22">
                  <c:v>18.592592592592585</c:v>
                </c:pt>
                <c:pt idx="23">
                  <c:v>17.874074074074066</c:v>
                </c:pt>
                <c:pt idx="24">
                  <c:v>17.155555555555548</c:v>
                </c:pt>
                <c:pt idx="25">
                  <c:v>16.43703703703703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F6F-4400-9CD0-D29AFAD829D3}"/>
            </c:ext>
          </c:extLst>
        </c:ser>
        <c:ser>
          <c:idx val="3"/>
          <c:order val="3"/>
          <c:tx>
            <c:strRef>
              <c:f>'Eix 1 gràfic opcions'!$C$9</c:f>
              <c:strCache>
                <c:ptCount val="1"/>
                <c:pt idx="0">
                  <c:v>Objectiu de deute</c:v>
                </c:pt>
              </c:strCache>
            </c:strRef>
          </c:tx>
          <c:spPr>
            <a:ln w="28575" cap="rnd">
              <a:solidFill>
                <a:srgbClr val="92D050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'Eix 1 gràfic opcions'!$D$9:$AH$9</c:f>
              <c:numCache>
                <c:formatCode>General</c:formatCode>
                <c:ptCount val="31"/>
                <c:pt idx="0">
                  <c:v>15</c:v>
                </c:pt>
                <c:pt idx="1">
                  <c:v>15</c:v>
                </c:pt>
                <c:pt idx="2">
                  <c:v>15</c:v>
                </c:pt>
                <c:pt idx="3">
                  <c:v>15</c:v>
                </c:pt>
                <c:pt idx="4">
                  <c:v>15</c:v>
                </c:pt>
                <c:pt idx="5">
                  <c:v>15</c:v>
                </c:pt>
                <c:pt idx="6">
                  <c:v>15</c:v>
                </c:pt>
                <c:pt idx="7">
                  <c:v>15</c:v>
                </c:pt>
                <c:pt idx="8">
                  <c:v>15</c:v>
                </c:pt>
                <c:pt idx="9">
                  <c:v>15</c:v>
                </c:pt>
                <c:pt idx="10">
                  <c:v>15</c:v>
                </c:pt>
                <c:pt idx="11">
                  <c:v>15</c:v>
                </c:pt>
                <c:pt idx="12">
                  <c:v>15</c:v>
                </c:pt>
                <c:pt idx="13">
                  <c:v>15</c:v>
                </c:pt>
                <c:pt idx="14">
                  <c:v>15</c:v>
                </c:pt>
                <c:pt idx="15">
                  <c:v>15</c:v>
                </c:pt>
                <c:pt idx="16">
                  <c:v>15</c:v>
                </c:pt>
                <c:pt idx="17">
                  <c:v>15</c:v>
                </c:pt>
                <c:pt idx="18">
                  <c:v>15</c:v>
                </c:pt>
                <c:pt idx="19">
                  <c:v>15</c:v>
                </c:pt>
                <c:pt idx="20">
                  <c:v>15</c:v>
                </c:pt>
                <c:pt idx="21">
                  <c:v>15</c:v>
                </c:pt>
                <c:pt idx="22">
                  <c:v>15</c:v>
                </c:pt>
                <c:pt idx="23">
                  <c:v>15</c:v>
                </c:pt>
                <c:pt idx="24">
                  <c:v>15</c:v>
                </c:pt>
                <c:pt idx="25">
                  <c:v>15</c:v>
                </c:pt>
                <c:pt idx="26">
                  <c:v>15</c:v>
                </c:pt>
                <c:pt idx="27">
                  <c:v>15</c:v>
                </c:pt>
                <c:pt idx="28">
                  <c:v>15</c:v>
                </c:pt>
                <c:pt idx="29">
                  <c:v>15</c:v>
                </c:pt>
                <c:pt idx="30">
                  <c:v>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F6F-4400-9CD0-D29AFAD829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47222672"/>
        <c:axId val="647223000"/>
      </c:lineChart>
      <c:catAx>
        <c:axId val="6472226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a-ES"/>
                  <a:t>Temps (anys)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a-E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a-ES"/>
          </a:p>
        </c:txPr>
        <c:crossAx val="647223000"/>
        <c:crosses val="autoZero"/>
        <c:auto val="1"/>
        <c:lblAlgn val="ctr"/>
        <c:lblOffset val="100"/>
        <c:noMultiLvlLbl val="0"/>
      </c:catAx>
      <c:valAx>
        <c:axId val="647223000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a-ES" b="1"/>
                  <a:t>Deute  (% PIB)</a:t>
                </a:r>
              </a:p>
            </c:rich>
          </c:tx>
          <c:layout>
            <c:manualLayout>
              <c:xMode val="edge"/>
              <c:yMode val="edge"/>
              <c:x val="1.8088756159561702E-2"/>
              <c:y val="0.2810906260022713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a-ES"/>
            </a:p>
          </c:txPr>
        </c:title>
        <c:numFmt formatCode="General" sourceLinked="1"/>
        <c:majorTickMark val="none"/>
        <c:minorTickMark val="none"/>
        <c:tickLblPos val="nextTo"/>
        <c:crossAx val="647222672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a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a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9c11177-adea-4a8c-9af1-536775451432">
      <Terms xmlns="http://schemas.microsoft.com/office/infopath/2007/PartnerControls"/>
    </lcf76f155ced4ddcb4097134ff3c332f>
    <TaxCatchAll xmlns="2c598f3d-5199-46e9-abe8-f1070122838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07654CCD3CD8429345E55F4D1357A3" ma:contentTypeVersion="16" ma:contentTypeDescription="Crea un document nou" ma:contentTypeScope="" ma:versionID="8c4b373d43ba0f0748d5938fb4a7f851">
  <xsd:schema xmlns:xsd="http://www.w3.org/2001/XMLSchema" xmlns:xs="http://www.w3.org/2001/XMLSchema" xmlns:p="http://schemas.microsoft.com/office/2006/metadata/properties" xmlns:ns2="69c11177-adea-4a8c-9af1-536775451432" xmlns:ns3="2c598f3d-5199-46e9-abe8-f10701228389" targetNamespace="http://schemas.microsoft.com/office/2006/metadata/properties" ma:root="true" ma:fieldsID="a08aad512c7b8b02462a9f0df681ea98" ns2:_="" ns3:_="">
    <xsd:import namespace="69c11177-adea-4a8c-9af1-536775451432"/>
    <xsd:import namespace="2c598f3d-5199-46e9-abe8-f107012283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c11177-adea-4a8c-9af1-5367754514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598f3d-5199-46e9-abe8-f1070122838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d991d93-13e2-4a69-83f6-dfbb0c5e7eff}" ma:internalName="TaxCatchAll" ma:showField="CatchAllData" ma:web="2c598f3d-5199-46e9-abe8-f107012283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0EC6ACA-D4C4-477F-B67C-979DB129A3F7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2c598f3d-5199-46e9-abe8-f10701228389"/>
    <ds:schemaRef ds:uri="http://schemas.microsoft.com/office/infopath/2007/PartnerControls"/>
    <ds:schemaRef ds:uri="69c11177-adea-4a8c-9af1-53677545143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D9BBA62-D70D-4A40-8F46-2C203F0EC3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c11177-adea-4a8c-9af1-536775451432"/>
    <ds:schemaRef ds:uri="2c598f3d-5199-46e9-abe8-f107012283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978FDD-C3F6-45CA-A94C-CDD6463104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EFA4EF-2A2F-4EA8-9B69-F8AB79887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PlantillaExteriors.dotx</Template>
  <TotalTime>9</TotalTime>
  <Pages>8</Pages>
  <Words>1809</Words>
  <Characters>10316</Characters>
  <Application>Microsoft Office Word</Application>
  <DocSecurity>0</DocSecurity>
  <Lines>85</Lines>
  <Paragraphs>24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Informe descriptivo del eje 1: Opciones de trayectorias de reducción de la deuda (en castellano)</vt:lpstr>
    </vt:vector>
  </TitlesOfParts>
  <Company/>
  <LinksUpToDate>false</LinksUpToDate>
  <CharactersWithSpaces>12101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descriptivo del eje 1: Opciones de trayectorias de reducción de la deuda (en castellano)</dc:title>
  <dc:subject/>
  <dc:creator>Generalitat de Catalunya</dc:creator>
  <cp:keywords/>
  <dc:description/>
  <cp:lastModifiedBy>Departament d'Economia i Hisenda</cp:lastModifiedBy>
  <cp:revision>11</cp:revision>
  <dcterms:created xsi:type="dcterms:W3CDTF">2024-04-12T10:21:00Z</dcterms:created>
  <dcterms:modified xsi:type="dcterms:W3CDTF">2024-05-21T09:52:00Z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0x0101005D07654CCD3CD8429345E55F4D1357A3</vt:lpwstr>
  </property>
  <property fmtid="{D5CDD505-2E9C-101B-9397-08002B2CF9AE}" pid="3" name="MediaServiceImageTags">
    <vt:lpwstr/>
  </property>
</Properties>
</file>