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13" w:rsidP="00CC5EA7" w:rsidRDefault="00CC5EA7" w14:paraId="3BF6696E" w14:textId="18E9CEC1">
      <w:pPr>
        <w:pStyle w:val="Ttol1"/>
      </w:pPr>
      <w:r>
        <w:t>EIX 2: LES REGLES DEL JOC</w:t>
      </w:r>
    </w:p>
    <w:p w:rsidRPr="00CC5EA7" w:rsidR="00CC5EA7" w:rsidP="00CC5EA7" w:rsidRDefault="00CC5EA7" w14:paraId="5CAD83D3" w14:textId="77777777"/>
    <w:p w:rsidRPr="0098370A" w:rsidR="002E32A7" w:rsidP="00B71D13" w:rsidRDefault="002E32A7" w14:paraId="758DA10C" w14:textId="44E648E3">
      <w:r w:rsidRPr="0098370A">
        <w:t>Procés participatiu de la nova llei de participació ciutadana</w:t>
      </w:r>
      <w:r w:rsidRPr="0098370A" w:rsidR="0098370A">
        <w:t xml:space="preserve"> de Catalunya</w:t>
      </w:r>
    </w:p>
    <w:p w:rsidRPr="0098370A" w:rsidR="0098370A" w:rsidP="00B71D13" w:rsidRDefault="00A86ED7" w14:paraId="17AD33E6" w14:textId="2BE42989">
      <w:hyperlink w:history="1" r:id="rId11">
        <w:r w:rsidRPr="0098370A" w:rsidR="0098370A">
          <w:rPr>
            <w:rStyle w:val="Enlla"/>
          </w:rPr>
          <w:t>https://participa.gencat.cat/processes/novalleiparticipacio</w:t>
        </w:r>
      </w:hyperlink>
      <w:r w:rsidRPr="0098370A" w:rsidR="0098370A">
        <w:t xml:space="preserve"> </w:t>
      </w:r>
    </w:p>
    <w:p w:rsidRPr="0098370A" w:rsidR="002E32A7" w:rsidP="00B71D13" w:rsidRDefault="002E32A7" w14:paraId="30294EBC" w14:textId="77777777">
      <w:pPr>
        <w:sectPr w:rsidRPr="0098370A" w:rsidR="002E32A7" w:rsidSect="003864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orient="portrait" w:code="9"/>
          <w:pgMar w:top="2835" w:right="1134" w:bottom="1985" w:left="1701" w:header="709" w:footer="567" w:gutter="0"/>
          <w:cols w:space="708"/>
          <w:titlePg/>
          <w:docGrid w:linePitch="360"/>
        </w:sectPr>
      </w:pPr>
    </w:p>
    <w:p w:rsidR="00714A61" w:rsidP="0098370A" w:rsidRDefault="00714A61" w14:paraId="37B58A6D" w14:textId="3650EA43">
      <w:pPr>
        <w:pStyle w:val="Ttol1"/>
        <w:spacing w:before="120"/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CC5EA7" w:rsidTr="73312E1A" w14:paraId="438F4384" w14:textId="77777777">
        <w:tc>
          <w:tcPr>
            <w:tcW w:w="1843" w:type="dxa"/>
            <w:tcMar/>
          </w:tcPr>
          <w:p w:rsidRPr="009C24E7" w:rsidR="00CC5EA7" w:rsidP="00DC7C69" w:rsidRDefault="00CC5EA7" w14:paraId="68616952" w14:textId="62BA845F">
            <w:pPr>
              <w:spacing w:before="120"/>
              <w:rPr>
                <w:b/>
              </w:rPr>
            </w:pPr>
            <w:r>
              <w:rPr>
                <w:b/>
              </w:rPr>
              <w:t>Explicació de l’</w:t>
            </w:r>
            <w:r w:rsidR="00DC7C69">
              <w:rPr>
                <w:b/>
              </w:rPr>
              <w:t>e</w:t>
            </w:r>
            <w:r>
              <w:rPr>
                <w:b/>
              </w:rPr>
              <w:t>ix</w:t>
            </w:r>
            <w:r w:rsidRPr="009C24E7">
              <w:rPr>
                <w:b/>
              </w:rPr>
              <w:t xml:space="preserve"> </w:t>
            </w:r>
            <w:r w:rsidR="00DC7C69">
              <w:rPr>
                <w:b/>
              </w:rPr>
              <w:t>2</w:t>
            </w:r>
            <w:bookmarkStart w:name="_GoBack" w:id="0"/>
            <w:bookmarkEnd w:id="0"/>
          </w:p>
        </w:tc>
        <w:tc>
          <w:tcPr>
            <w:tcW w:w="7224" w:type="dxa"/>
            <w:tcMar/>
          </w:tcPr>
          <w:p w:rsidR="00CC5EA7" w:rsidP="00CC5EA7" w:rsidRDefault="00CC5EA7" w14:paraId="6808682A" w14:textId="77777777">
            <w:pPr>
              <w:spacing w:before="120"/>
            </w:pPr>
            <w:r>
              <w:t xml:space="preserve">Comptant que l’organització impulsora de la participació té integrats els valors i actituds adients i que posa a disposició els recursos necessaris per impulsar modalitats participatives amb unes mínimes garanties, el següent repte és </w:t>
            </w:r>
            <w:r w:rsidRPr="5C458F0D">
              <w:rPr>
                <w:b/>
                <w:bCs/>
              </w:rPr>
              <w:t>definir unes regles del joc clares</w:t>
            </w:r>
            <w:r>
              <w:t>, en què s’expliqui de forma entenedora l’objectiu dels debats, en quina política pública hi ha la possibilitat d’incidir, sobre quines qüestions es parlarà i quins són els límits de la participació, és a dir, quines qüestions resten fora del debat.</w:t>
            </w:r>
          </w:p>
          <w:p w:rsidR="00CC5EA7" w:rsidP="00CC5EA7" w:rsidRDefault="00CC5EA7" w14:paraId="47EF7B32" w14:textId="77777777">
            <w:pPr>
              <w:spacing w:before="120"/>
            </w:pPr>
            <w:r>
              <w:t xml:space="preserve">També cal preveure un </w:t>
            </w:r>
            <w:r w:rsidRPr="59BE28D9">
              <w:rPr>
                <w:b/>
                <w:bCs/>
              </w:rPr>
              <w:t>grup motor</w:t>
            </w:r>
            <w:r>
              <w:t xml:space="preserve"> o un espai que inclogui la societat civil, per tal que validi la qualitat de la participació.</w:t>
            </w:r>
          </w:p>
          <w:p w:rsidR="00CC5EA7" w:rsidP="00CC5EA7" w:rsidRDefault="00CC5EA7" w14:paraId="06292E17" w14:textId="77777777">
            <w:pPr>
              <w:spacing w:before="120"/>
            </w:pPr>
            <w:r>
              <w:t xml:space="preserve">Altres elements clau en el disseny de qualsevol modalitat participativa són una </w:t>
            </w:r>
            <w:r w:rsidRPr="59BE28D9">
              <w:rPr>
                <w:b/>
                <w:bCs/>
              </w:rPr>
              <w:t xml:space="preserve">bona comunicació </w:t>
            </w:r>
            <w:r>
              <w:t xml:space="preserve">i la posterior </w:t>
            </w:r>
            <w:r w:rsidRPr="59BE28D9">
              <w:rPr>
                <w:b/>
                <w:bCs/>
              </w:rPr>
              <w:t>avaluació</w:t>
            </w:r>
            <w:r>
              <w:t>, incorporant en aquesta darrera les persones participants.</w:t>
            </w:r>
          </w:p>
          <w:p w:rsidR="00CC5EA7" w:rsidP="00CC5EA7" w:rsidRDefault="00CC5EA7" w14:paraId="46C9B771" w14:textId="78BFD603">
            <w:pPr>
              <w:spacing w:before="120"/>
            </w:pPr>
            <w:r>
              <w:t>A la Generalitat, quan impulsem modalitats de participació, totes aquestes regles i previsions les tenim dissenyades i explícites en un document que n’anomenem “marc de referència”.</w:t>
            </w:r>
          </w:p>
        </w:tc>
      </w:tr>
      <w:tr w:rsidR="00CC5EA7" w:rsidTr="73312E1A" w14:paraId="5A12953A" w14:textId="77777777">
        <w:tc>
          <w:tcPr>
            <w:tcW w:w="1843" w:type="dxa"/>
            <w:tcMar/>
          </w:tcPr>
          <w:p w:rsidRPr="006766DD" w:rsidR="00CC5EA7" w:rsidP="00CC5EA7" w:rsidRDefault="00CC5EA7" w14:paraId="1A2C1D70" w14:textId="77777777">
            <w:pPr>
              <w:spacing w:before="120" w:after="120"/>
              <w:rPr>
                <w:b/>
              </w:rPr>
            </w:pPr>
            <w:r w:rsidRPr="006766DD">
              <w:rPr>
                <w:b/>
              </w:rPr>
              <w:t>Situació actual</w:t>
            </w:r>
          </w:p>
        </w:tc>
        <w:tc>
          <w:tcPr>
            <w:tcW w:w="7224" w:type="dxa"/>
            <w:tcMar/>
          </w:tcPr>
          <w:p w:rsidR="00CC5EA7" w:rsidP="00CC5EA7" w:rsidRDefault="00CC5EA7" w14:paraId="19F742FF" w14:textId="77777777">
            <w:pPr>
              <w:spacing w:before="120" w:after="120"/>
            </w:pPr>
            <w:r>
              <w:t xml:space="preserve">En l’àmbit de la Generalitat, la millora de la definició d’aquest marc de referència ha estat una constant, i a dia d’avui, la majoria de processos participatius tenen el seu marc de referència propi. </w:t>
            </w:r>
          </w:p>
          <w:p w:rsidR="00CC5EA7" w:rsidP="00CC5EA7" w:rsidRDefault="00CC5EA7" w14:paraId="3A0628BD" w14:textId="77777777">
            <w:pPr>
              <w:spacing w:before="120" w:after="120"/>
            </w:pPr>
            <w:r>
              <w:t>En el cas de les consultes publiques prèvies també s’ha avançat en millorar el seu disseny a través dels documents metodològics que cal elaborar prèviament a activar la consulta.</w:t>
            </w:r>
          </w:p>
          <w:p w:rsidR="00CC5EA7" w:rsidP="00CC5EA7" w:rsidRDefault="00CC5EA7" w14:paraId="08E059D4" w14:textId="77777777">
            <w:pPr>
              <w:spacing w:before="120" w:after="120"/>
            </w:pPr>
            <w:r>
              <w:t>Tot i així, hi ha marge de millora en alguns aspectes</w:t>
            </w:r>
          </w:p>
          <w:p w:rsidR="00CC5EA7" w:rsidP="00CC5EA7" w:rsidRDefault="00CC5EA7" w14:paraId="1736D253" w14:textId="77777777">
            <w:pPr>
              <w:pStyle w:val="Pargrafdellista"/>
              <w:numPr>
                <w:ilvl w:val="0"/>
                <w:numId w:val="10"/>
              </w:numPr>
              <w:shd w:val="clear" w:color="auto" w:fill="auto"/>
              <w:spacing w:before="120" w:after="120" w:line="240" w:lineRule="auto"/>
            </w:pPr>
            <w:r>
              <w:t>La informació que es posa a disposició de la ciutadania no sempre és suficient ni prou clara, sovint pateix de biaixos tècnics.</w:t>
            </w:r>
          </w:p>
          <w:p w:rsidR="00CC5EA7" w:rsidP="00CC5EA7" w:rsidRDefault="00CC5EA7" w14:paraId="2D2F78B8" w14:textId="77777777">
            <w:pPr>
              <w:pStyle w:val="Pargrafdellista"/>
              <w:numPr>
                <w:ilvl w:val="0"/>
                <w:numId w:val="10"/>
              </w:numPr>
              <w:shd w:val="clear" w:color="auto" w:fill="auto"/>
              <w:spacing w:before="120" w:after="120" w:line="240" w:lineRule="auto"/>
            </w:pPr>
            <w:r>
              <w:t>Sovint les regles del joc no es consensuen en espais que incorporin la societat civil, i sovint els processos participatius es fan sense comptar amb altres òrgans que sí n’incorporen, com els consells de participació.</w:t>
            </w:r>
          </w:p>
          <w:p w:rsidR="00CC5EA7" w:rsidP="00CC5EA7" w:rsidRDefault="00CC5EA7" w14:paraId="1136F806" w14:textId="77777777">
            <w:pPr>
              <w:pStyle w:val="Pargrafdellista"/>
              <w:numPr>
                <w:ilvl w:val="0"/>
                <w:numId w:val="10"/>
              </w:numPr>
              <w:shd w:val="clear" w:color="auto" w:fill="auto"/>
              <w:spacing w:before="120" w:after="120" w:line="240" w:lineRule="auto"/>
            </w:pPr>
            <w:r>
              <w:t>Manquen espais de seguiment dels compromisos adquirits.</w:t>
            </w:r>
          </w:p>
          <w:p w:rsidR="00CC5EA7" w:rsidP="00CC5EA7" w:rsidRDefault="00CC5EA7" w14:paraId="04D5B51B" w14:textId="77777777">
            <w:pPr>
              <w:pStyle w:val="Pargrafdellista"/>
              <w:numPr>
                <w:ilvl w:val="0"/>
                <w:numId w:val="10"/>
              </w:numPr>
              <w:shd w:val="clear" w:color="auto" w:fill="auto"/>
              <w:spacing w:before="120" w:after="120" w:line="240" w:lineRule="auto"/>
            </w:pPr>
            <w:r>
              <w:t>Manquen bones estratègies de comunicació de les diferents modalitats participatives, quedant moltes vegades en desconeixement per part de la ciutadania.</w:t>
            </w:r>
          </w:p>
          <w:p w:rsidR="00CC5EA7" w:rsidP="00CC5EA7" w:rsidRDefault="00CC5EA7" w14:paraId="159185C2" w14:textId="27957681">
            <w:pPr>
              <w:spacing w:before="120" w:after="120"/>
            </w:pPr>
          </w:p>
          <w:p w:rsidR="00CC5EA7" w:rsidP="00CC5EA7" w:rsidRDefault="00CC5EA7" w14:paraId="2BF003B6" w14:textId="77777777">
            <w:pPr>
              <w:spacing w:before="120" w:after="120"/>
            </w:pPr>
          </w:p>
          <w:p w:rsidR="00CC5EA7" w:rsidP="00CC5EA7" w:rsidRDefault="00CC5EA7" w14:paraId="0AC518C1" w14:textId="77777777">
            <w:pPr>
              <w:spacing w:before="120" w:after="120"/>
              <w:rPr>
                <w:b/>
                <w:bCs/>
              </w:rPr>
            </w:pPr>
            <w:r w:rsidRPr="28980BB4">
              <w:rPr>
                <w:b/>
                <w:bCs/>
              </w:rPr>
              <w:t>Les xifres:</w:t>
            </w:r>
          </w:p>
          <w:p w:rsidR="00CC5EA7" w:rsidP="00CC5EA7" w:rsidRDefault="00CC5EA7" w14:paraId="072BA3D5" w14:textId="77777777">
            <w:pPr>
              <w:spacing w:before="120" w:after="120"/>
            </w:pPr>
            <w:r>
              <w:t>Sobre</w:t>
            </w:r>
            <w:r w:rsidRPr="28980BB4">
              <w:rPr>
                <w:b/>
                <w:bCs/>
              </w:rPr>
              <w:t xml:space="preserve"> espais de seguiment</w:t>
            </w:r>
            <w:r>
              <w:t>:</w:t>
            </w:r>
          </w:p>
          <w:p w:rsidR="00CC5EA7" w:rsidP="00CC5EA7" w:rsidRDefault="00CC5EA7" w14:paraId="3038D33C" w14:textId="77777777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</w:pPr>
            <w:r>
              <w:t xml:space="preserve">En el 60% dels </w:t>
            </w:r>
            <w:hyperlink r:id="rId17">
              <w:r w:rsidRPr="28980BB4">
                <w:rPr>
                  <w:rStyle w:val="Enlla"/>
                </w:rPr>
                <w:t>processos participatius a la Generalitat de Catalunya finalitzats als anys 2018-2019</w:t>
              </w:r>
            </w:hyperlink>
            <w:r>
              <w:t xml:space="preserve"> no es va preveure un òrgan de seguiment dels resultats.</w:t>
            </w:r>
          </w:p>
          <w:p w:rsidR="00CC5EA7" w:rsidP="00CC5EA7" w:rsidRDefault="00CC5EA7" w14:paraId="6A1BAAA6" w14:textId="77777777">
            <w:pPr>
              <w:spacing w:before="120" w:after="120"/>
            </w:pPr>
            <w:r>
              <w:t xml:space="preserve">Sobre la </w:t>
            </w:r>
            <w:r w:rsidRPr="28980BB4">
              <w:rPr>
                <w:b/>
                <w:bCs/>
              </w:rPr>
              <w:t>definició de regles del joc clares</w:t>
            </w:r>
            <w:r>
              <w:t>:</w:t>
            </w:r>
          </w:p>
          <w:p w:rsidR="00CC5EA7" w:rsidP="00CC5EA7" w:rsidRDefault="00CC5EA7" w14:paraId="426E89C8" w14:textId="77777777">
            <w:pPr>
              <w:spacing w:before="120" w:after="120"/>
            </w:pPr>
            <w:r>
              <w:t xml:space="preserve">D’acord amb el </w:t>
            </w:r>
            <w:hyperlink r:id="rId18">
              <w:r w:rsidRPr="17E1936A">
                <w:rPr>
                  <w:rStyle w:val="Enlla"/>
                </w:rPr>
                <w:t>Panel de polítiques locals participació 2020:</w:t>
              </w:r>
            </w:hyperlink>
            <w:r>
              <w:t xml:space="preserve"> </w:t>
            </w:r>
          </w:p>
          <w:p w:rsidR="00CC5EA7" w:rsidP="00CC5EA7" w:rsidRDefault="00CC5EA7" w14:paraId="4EE59F06" w14:textId="27AED78B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</w:pPr>
            <w:r>
              <w:t>La segona i tercera opció més esmentada sobre com</w:t>
            </w:r>
            <w:r w:rsidRPr="59BE28D9">
              <w:rPr>
                <w:b/>
                <w:bCs/>
              </w:rPr>
              <w:t xml:space="preserve"> donar resposta a les necessitats dels equips de govern municipals</w:t>
            </w:r>
            <w:r>
              <w:t xml:space="preserve"> són assistència en la reflexió estratègicament sobre les polítiques de participació (23,3 %) i col·laboració en definir, dissenyar i dur a terme les actuacions participació (16,3 %).</w:t>
            </w:r>
          </w:p>
        </w:tc>
      </w:tr>
      <w:tr w:rsidR="00CC5EA7" w:rsidTr="73312E1A" w14:paraId="61174DD2" w14:textId="77777777">
        <w:tc>
          <w:tcPr>
            <w:tcW w:w="1843" w:type="dxa"/>
            <w:tcMar/>
          </w:tcPr>
          <w:p w:rsidRPr="006766DD" w:rsidR="00CC5EA7" w:rsidP="00CC5EA7" w:rsidRDefault="00CC5EA7" w14:paraId="744E5A61" w14:textId="77777777">
            <w:pPr>
              <w:spacing w:before="120" w:after="120"/>
              <w:rPr>
                <w:b/>
              </w:rPr>
            </w:pPr>
            <w:r>
              <w:rPr>
                <w:b/>
              </w:rPr>
              <w:t>Previsions normatives</w:t>
            </w:r>
          </w:p>
        </w:tc>
        <w:tc>
          <w:tcPr>
            <w:tcW w:w="7224" w:type="dxa"/>
            <w:tcMar/>
          </w:tcPr>
          <w:p w:rsidR="00CC5EA7" w:rsidP="00CC5EA7" w:rsidRDefault="00CC5EA7" w14:paraId="438504D6" w14:textId="15D178BB">
            <w:pPr>
              <w:pStyle w:val="Pargrafdellista"/>
              <w:spacing w:before="120" w:after="120"/>
              <w:ind w:left="0"/>
              <w:rPr>
                <w:highlight w:val="yellow"/>
              </w:rPr>
            </w:pPr>
            <w:r w:rsidRPr="73312E1A" w:rsidR="00CC5EA7">
              <w:rPr>
                <w:b w:val="1"/>
                <w:bCs w:val="1"/>
              </w:rPr>
              <w:t xml:space="preserve">Previsions a la </w:t>
            </w:r>
            <w:r w:rsidRPr="73312E1A" w:rsidR="0A2FA437">
              <w:rPr>
                <w:b w:val="1"/>
                <w:bCs w:val="1"/>
              </w:rPr>
              <w:t>normativa</w:t>
            </w:r>
            <w:r w:rsidRPr="73312E1A" w:rsidR="00CC5EA7">
              <w:rPr>
                <w:b w:val="1"/>
                <w:bCs w:val="1"/>
              </w:rPr>
              <w:t xml:space="preserve"> de procediment </w:t>
            </w:r>
            <w:r w:rsidRPr="73312E1A" w:rsidR="0883CF15">
              <w:rPr>
                <w:b w:val="1"/>
                <w:bCs w:val="1"/>
              </w:rPr>
              <w:t xml:space="preserve">administratiu comú </w:t>
            </w:r>
            <w:r w:rsidRPr="73312E1A" w:rsidR="00CC5EA7">
              <w:rPr>
                <w:b w:val="1"/>
                <w:bCs w:val="1"/>
              </w:rPr>
              <w:t>sobre el contingut de les consultes</w:t>
            </w:r>
          </w:p>
        </w:tc>
      </w:tr>
      <w:tr w:rsidR="00CC5EA7" w:rsidTr="73312E1A" w14:paraId="52F747CC" w14:textId="77777777">
        <w:tc>
          <w:tcPr>
            <w:tcW w:w="1843" w:type="dxa"/>
            <w:tcMar/>
          </w:tcPr>
          <w:p w:rsidRPr="006766DD" w:rsidR="00CC5EA7" w:rsidP="00CC5EA7" w:rsidRDefault="00CC5EA7" w14:paraId="34774175" w14:textId="77777777">
            <w:pPr>
              <w:spacing w:before="120" w:after="120"/>
              <w:rPr>
                <w:b/>
              </w:rPr>
            </w:pPr>
            <w:r w:rsidRPr="006766DD">
              <w:rPr>
                <w:b/>
              </w:rPr>
              <w:t>Documentació de referència</w:t>
            </w:r>
          </w:p>
        </w:tc>
        <w:tc>
          <w:tcPr>
            <w:tcW w:w="7224" w:type="dxa"/>
            <w:tcMar/>
          </w:tcPr>
          <w:p w:rsidR="00CC5EA7" w:rsidP="00CC5EA7" w:rsidRDefault="00A86ED7" w14:paraId="2FCDCCFE" w14:textId="77777777">
            <w:pPr>
              <w:pStyle w:val="Pargrafdellista"/>
              <w:numPr>
                <w:ilvl w:val="0"/>
                <w:numId w:val="9"/>
              </w:numPr>
              <w:shd w:val="clear" w:color="auto" w:fill="auto"/>
              <w:spacing w:before="120" w:after="120" w:line="240" w:lineRule="auto"/>
            </w:pPr>
            <w:hyperlink r:id="rId19">
              <w:r w:rsidRPr="5C458F0D" w:rsidR="00CC5EA7">
                <w:rPr>
                  <w:rStyle w:val="Enlla"/>
                </w:rPr>
                <w:t>Plantilla de marc de referència</w:t>
              </w:r>
            </w:hyperlink>
          </w:p>
          <w:p w:rsidR="00CC5EA7" w:rsidP="00CC5EA7" w:rsidRDefault="00A86ED7" w14:paraId="053DF316" w14:textId="77777777">
            <w:pPr>
              <w:pStyle w:val="Pargrafdellista"/>
              <w:numPr>
                <w:ilvl w:val="0"/>
                <w:numId w:val="9"/>
              </w:numPr>
              <w:shd w:val="clear" w:color="auto" w:fill="auto"/>
              <w:spacing w:before="120" w:after="120" w:line="240" w:lineRule="auto"/>
            </w:pPr>
            <w:hyperlink r:id="rId20">
              <w:r w:rsidRPr="5C458F0D" w:rsidR="00CC5EA7">
                <w:rPr>
                  <w:rStyle w:val="Enlla"/>
                </w:rPr>
                <w:t>Fitxa consultes públiques prèvies</w:t>
              </w:r>
            </w:hyperlink>
          </w:p>
          <w:p w:rsidR="00CC5EA7" w:rsidP="00CC5EA7" w:rsidRDefault="00A86ED7" w14:paraId="34A3390F" w14:textId="77777777">
            <w:pPr>
              <w:pStyle w:val="Pargrafdellista"/>
              <w:numPr>
                <w:ilvl w:val="0"/>
                <w:numId w:val="9"/>
              </w:numPr>
              <w:shd w:val="clear" w:color="auto" w:fill="auto"/>
              <w:spacing w:before="120" w:after="120" w:line="240" w:lineRule="auto"/>
              <w:rPr>
                <w:rStyle w:val="Enlla"/>
              </w:rPr>
            </w:pPr>
            <w:hyperlink r:id="rId21">
              <w:r w:rsidRPr="28980BB4" w:rsidR="00CC5EA7">
                <w:rPr>
                  <w:rStyle w:val="Enlla"/>
                </w:rPr>
                <w:t>Guia per planificar processos</w:t>
              </w:r>
            </w:hyperlink>
          </w:p>
          <w:p w:rsidR="00CC5EA7" w:rsidP="00CC5EA7" w:rsidRDefault="00A86ED7" w14:paraId="05596EAB" w14:textId="1B50985F">
            <w:pPr>
              <w:pStyle w:val="Pargrafdellista"/>
              <w:numPr>
                <w:ilvl w:val="0"/>
                <w:numId w:val="9"/>
              </w:numPr>
              <w:shd w:val="clear" w:color="auto" w:fill="auto"/>
              <w:spacing w:before="120" w:after="120" w:line="240" w:lineRule="auto"/>
            </w:pPr>
            <w:hyperlink r:id="rId22">
              <w:r w:rsidRPr="28980BB4" w:rsidR="00CC5EA7">
                <w:rPr>
                  <w:rStyle w:val="Enlla"/>
                </w:rPr>
                <w:t>Claus de comunicació de processos</w:t>
              </w:r>
            </w:hyperlink>
          </w:p>
        </w:tc>
      </w:tr>
      <w:tr w:rsidR="00CC5EA7" w:rsidTr="73312E1A" w14:paraId="539CD4AF" w14:textId="77777777">
        <w:tc>
          <w:tcPr>
            <w:tcW w:w="1843" w:type="dxa"/>
            <w:tcMar/>
          </w:tcPr>
          <w:p w:rsidRPr="006766DD" w:rsidR="00CC5EA7" w:rsidP="00CC5EA7" w:rsidRDefault="00CC5EA7" w14:paraId="1AE05DA1" w14:textId="77777777">
            <w:pPr>
              <w:spacing w:before="120" w:after="120"/>
              <w:rPr>
                <w:b/>
              </w:rPr>
            </w:pPr>
            <w:r w:rsidRPr="006766DD">
              <w:rPr>
                <w:b/>
              </w:rPr>
              <w:t>Límits del debat</w:t>
            </w:r>
          </w:p>
        </w:tc>
        <w:tc>
          <w:tcPr>
            <w:tcW w:w="7224" w:type="dxa"/>
            <w:tcMar/>
          </w:tcPr>
          <w:p w:rsidR="00CC5EA7" w:rsidP="00DC7C69" w:rsidRDefault="00CC5EA7" w14:paraId="4A0597C9" w14:textId="1FDDEAD1">
            <w:pPr>
              <w:spacing w:before="120" w:after="120"/>
              <w:rPr>
                <w:rFonts w:ascii="Calibri" w:hAnsi="Calibri" w:eastAsia="Calibri" w:cs="Calibri"/>
              </w:rPr>
            </w:pPr>
            <w:r>
              <w:t xml:space="preserve">Les propostes han d’anar destinades a la futura llei. </w:t>
            </w:r>
            <w:r w:rsidRPr="59BE28D9">
              <w:rPr>
                <w:rFonts w:ascii="Calibri" w:hAnsi="Calibri" w:eastAsia="Calibri" w:cs="Calibri"/>
              </w:rPr>
              <w:t>Les referències normatives a les consultes populars no referendàries, als referèndums o a processos electorals no són objecte d’aquest procés participatiu.</w:t>
            </w:r>
          </w:p>
        </w:tc>
      </w:tr>
    </w:tbl>
    <w:p w:rsidRPr="00CC5EA7" w:rsidR="00CC5EA7" w:rsidP="00CC5EA7" w:rsidRDefault="00CC5EA7" w14:paraId="7D46497B" w14:textId="77777777"/>
    <w:sectPr w:rsidRPr="00CC5EA7" w:rsidR="00CC5EA7" w:rsidSect="006B0EC4">
      <w:pgSz w:w="11907" w:h="16840" w:orient="portrait" w:code="9"/>
      <w:pgMar w:top="1985" w:right="1134" w:bottom="1985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E1" w:rsidP="005E5E27" w:rsidRDefault="00F55BE1" w14:paraId="7CB73B6A" w14:textId="77777777">
      <w:r>
        <w:separator/>
      </w:r>
    </w:p>
  </w:endnote>
  <w:endnote w:type="continuationSeparator" w:id="0">
    <w:p w:rsidR="00F55BE1" w:rsidP="005E5E27" w:rsidRDefault="00F55BE1" w14:paraId="76F775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AA" w:rsidP="005E5E27" w:rsidRDefault="00FE39AA" w14:paraId="033D4A6D" w14:textId="7777777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FE39AA" w:rsidP="005E5E27" w:rsidRDefault="00FE39AA" w14:paraId="615CD8DD" w14:textId="7777777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D6E33" w:rsidP="00B634C1" w:rsidRDefault="00F22B55" w14:paraId="76ACB95C" w14:textId="6AFBA52F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08254BF5" wp14:editId="19DFA5B3">
          <wp:extent cx="1234930" cy="317500"/>
          <wp:effectExtent l="0" t="0" r="3810" b="6350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db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 w:rsidR="00CD6E33">
          <w:fldChar w:fldCharType="begin"/>
        </w:r>
        <w:r w:rsidR="00CD6E33">
          <w:instrText>PAGE   \* MERGEFORMAT</w:instrText>
        </w:r>
        <w:r w:rsidR="00CD6E33">
          <w:fldChar w:fldCharType="separate"/>
        </w:r>
        <w:r w:rsidR="00A86ED7">
          <w:rPr>
            <w:noProof/>
          </w:rPr>
          <w:t>2</w:t>
        </w:r>
        <w:r w:rsidR="00CD6E33">
          <w:fldChar w:fldCharType="end"/>
        </w:r>
      </w:sdtContent>
    </w:sdt>
    <w:r>
      <w:tab/>
    </w:r>
    <w:r w:rsidRPr="006E7EC0" w:rsidR="00CD6E33">
      <w:rPr>
        <w:b/>
        <w:color w:val="ED7D31" w:themeColor="accent2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E7EC0" w:rsidP="00B634C1" w:rsidRDefault="00386460" w14:paraId="0FF44DDA" w14:textId="06DC4DC4">
    <w:pPr>
      <w:tabs>
        <w:tab w:val="center" w:pos="4395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21C6D0C4" wp14:editId="6343ACF1">
          <wp:extent cx="1273908" cy="343444"/>
          <wp:effectExtent l="0" t="0" r="2540" b="0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b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EC0"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Pr="00386460" w:rsidR="006E7EC0">
          <w:fldChar w:fldCharType="begin"/>
        </w:r>
        <w:r w:rsidRPr="00386460" w:rsidR="006E7EC0">
          <w:instrText>PAGE   \* MERGEFORMAT</w:instrText>
        </w:r>
        <w:r w:rsidRPr="00386460" w:rsidR="006E7EC0">
          <w:fldChar w:fldCharType="separate"/>
        </w:r>
        <w:r w:rsidR="00A86ED7">
          <w:rPr>
            <w:noProof/>
          </w:rPr>
          <w:t>1</w:t>
        </w:r>
        <w:r w:rsidRPr="00386460" w:rsidR="006E7EC0">
          <w:fldChar w:fldCharType="end"/>
        </w:r>
      </w:sdtContent>
    </w:sdt>
    <w:r w:rsidR="006E7EC0">
      <w:tab/>
    </w:r>
    <w:hyperlink w:history="1" r:id="rId2">
      <w:r w:rsidRPr="00386460" w:rsidR="006E7EC0">
        <w:rPr>
          <w:rStyle w:val="Enlla"/>
          <w:b/>
          <w:color w:val="ED7D31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E1" w:rsidP="005E5E27" w:rsidRDefault="00F55BE1" w14:paraId="26B473A0" w14:textId="77777777">
      <w:r>
        <w:separator/>
      </w:r>
    </w:p>
  </w:footnote>
  <w:footnote w:type="continuationSeparator" w:id="0">
    <w:p w:rsidR="00F55BE1" w:rsidP="005E5E27" w:rsidRDefault="00F55BE1" w14:paraId="541B99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3503B" w:rsidP="00386460" w:rsidRDefault="0057753C" w14:paraId="373E0687" w14:textId="566A2827">
    <w:pPr>
      <w:pStyle w:val="Capalera"/>
    </w:pPr>
    <w:r>
      <w:rPr>
        <w:noProof/>
        <w:lang w:eastAsia="ca-ES"/>
      </w:rPr>
      <w:drawing>
        <wp:inline distT="0" distB="0" distL="0" distR="0" wp14:anchorId="014AACD3" wp14:editId="28D4D612">
          <wp:extent cx="1600200" cy="372357"/>
          <wp:effectExtent l="0" t="0" r="0" b="8890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O_participaci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274" cy="37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86ED7" w:rsidR="00A86ED7" w:rsidP="00A86ED7" w:rsidRDefault="00A86ED7" w14:paraId="419354D5" w14:textId="410B0196">
    <w:pPr>
      <w:pStyle w:val="Capalera"/>
      <w:jc w:val="right"/>
      <w:rPr>
        <w:color w:val="808080" w:themeColor="background1" w:themeShade="80"/>
      </w:rPr>
    </w:pPr>
    <w:r w:rsidRPr="00A86ED7">
      <w:rPr>
        <w:color w:val="808080" w:themeColor="background1" w:themeShade="80"/>
      </w:rPr>
      <w:t>Eix 2: les regles del joc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E7EC0" w:rsidP="00386460" w:rsidRDefault="006E7EC0" w14:paraId="27696BFB" w14:textId="77777777">
    <w:pPr>
      <w:pStyle w:val="Capalera"/>
    </w:pPr>
    <w:r>
      <w:rPr>
        <w:noProof/>
        <w:lang w:eastAsia="ca-ES"/>
      </w:rPr>
      <w:drawing>
        <wp:inline distT="0" distB="0" distL="0" distR="0" wp14:anchorId="33E47BE3" wp14:editId="5F7189F8">
          <wp:extent cx="2495306" cy="765788"/>
          <wp:effectExtent l="0" t="0" r="635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1"/>
                  <a:stretch/>
                </pic:blipFill>
                <pic:spPr bwMode="auto">
                  <a:xfrm>
                    <a:off x="0" y="0"/>
                    <a:ext cx="2518180" cy="772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hint="default" w:ascii="Symbol" w:hAnsi="Symbol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hint="default" w:ascii="Courier New" w:hAnsi="Courier New" w:cs="Courier New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7" w15:restartNumberingAfterBreak="0">
    <w:nsid w:val="502C0116"/>
    <w:multiLevelType w:val="hybridMultilevel"/>
    <w:tmpl w:val="B0A4F45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943601"/>
    <w:multiLevelType w:val="hybridMultilevel"/>
    <w:tmpl w:val="312A5F0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7"/>
    <w:rsid w:val="00085B6B"/>
    <w:rsid w:val="00183632"/>
    <w:rsid w:val="0019428B"/>
    <w:rsid w:val="00242B45"/>
    <w:rsid w:val="002A3238"/>
    <w:rsid w:val="002E32A7"/>
    <w:rsid w:val="002E40D6"/>
    <w:rsid w:val="00386460"/>
    <w:rsid w:val="003C2FD8"/>
    <w:rsid w:val="004C0587"/>
    <w:rsid w:val="004F0509"/>
    <w:rsid w:val="0057753C"/>
    <w:rsid w:val="005E5E27"/>
    <w:rsid w:val="006800B7"/>
    <w:rsid w:val="006814EE"/>
    <w:rsid w:val="006834EC"/>
    <w:rsid w:val="0068656E"/>
    <w:rsid w:val="006B0EC4"/>
    <w:rsid w:val="006B6FE9"/>
    <w:rsid w:val="006E7EC0"/>
    <w:rsid w:val="00714A61"/>
    <w:rsid w:val="0080674C"/>
    <w:rsid w:val="008266EC"/>
    <w:rsid w:val="00864803"/>
    <w:rsid w:val="008A22B5"/>
    <w:rsid w:val="00932D56"/>
    <w:rsid w:val="00942967"/>
    <w:rsid w:val="0098370A"/>
    <w:rsid w:val="00A3503B"/>
    <w:rsid w:val="00A86ED7"/>
    <w:rsid w:val="00AC0863"/>
    <w:rsid w:val="00AF3382"/>
    <w:rsid w:val="00B26546"/>
    <w:rsid w:val="00B634C1"/>
    <w:rsid w:val="00B71D13"/>
    <w:rsid w:val="00B73972"/>
    <w:rsid w:val="00BA23C3"/>
    <w:rsid w:val="00BE0583"/>
    <w:rsid w:val="00CC0362"/>
    <w:rsid w:val="00CC5EA7"/>
    <w:rsid w:val="00CD6E33"/>
    <w:rsid w:val="00CF65BB"/>
    <w:rsid w:val="00D43525"/>
    <w:rsid w:val="00DC7C69"/>
    <w:rsid w:val="00DF5061"/>
    <w:rsid w:val="00E26626"/>
    <w:rsid w:val="00EB33F5"/>
    <w:rsid w:val="00F22B55"/>
    <w:rsid w:val="00F55BE1"/>
    <w:rsid w:val="00F71E95"/>
    <w:rsid w:val="00FC19D2"/>
    <w:rsid w:val="00FE39AA"/>
    <w:rsid w:val="0883CF15"/>
    <w:rsid w:val="0A2FA437"/>
    <w:rsid w:val="7331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A6882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6460"/>
    <w:pPr>
      <w:shd w:val="clear" w:color="auto" w:fill="FFFFFF"/>
      <w:spacing w:after="200" w:line="264" w:lineRule="auto"/>
    </w:pPr>
    <w:rPr>
      <w:rFonts w:ascii="Arial" w:hAnsi="Arial" w:eastAsia="Times New Roman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color="ED7D31" w:sz="8" w:space="10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  <w:lang w:val="en-US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  <w:lang w:val="en-US"/>
    </w:rPr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A3503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styleId="PeuCar" w:customStyle="1">
    <w:name w:val="Peu Car"/>
    <w:basedOn w:val="Tipusdelletraperdefectedelpargraf"/>
    <w:link w:val="Peu"/>
    <w:uiPriority w:val="99"/>
    <w:rsid w:val="00A3503B"/>
    <w:rPr>
      <w:lang w:val="ca-ES"/>
    </w:rPr>
  </w:style>
  <w:style w:type="character" w:styleId="Nmerodepgina">
    <w:name w:val="page number"/>
    <w:basedOn w:val="Tipusdelletraperdefectedelpargraf"/>
    <w:uiPriority w:val="99"/>
    <w:semiHidden/>
    <w:unhideWhenUsed/>
    <w:rsid w:val="00FE39AA"/>
  </w:style>
  <w:style w:type="paragraph" w:styleId="m1538649255665353656msolistparagraph" w:customStyle="1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styleId="Ttol1Car" w:customStyle="1">
    <w:name w:val="Títol 1 Car"/>
    <w:basedOn w:val="Tipusdelletraperdefectedelpargraf"/>
    <w:link w:val="Ttol1"/>
    <w:uiPriority w:val="9"/>
    <w:rsid w:val="00B634C1"/>
    <w:rPr>
      <w:rFonts w:ascii="Arial" w:hAnsi="Arial" w:eastAsia="Times New Roman" w:cs="Arial"/>
      <w:b/>
      <w:color w:val="000000" w:themeColor="text1"/>
      <w:sz w:val="44"/>
      <w:szCs w:val="32"/>
      <w:shd w:val="clear" w:color="auto" w:fill="FFFFFF"/>
      <w:lang w:val="es-ES"/>
    </w:rPr>
  </w:style>
  <w:style w:type="character" w:styleId="Ttol2Car" w:customStyle="1">
    <w:name w:val="Títol 2 Car"/>
    <w:basedOn w:val="Tipusdelletraperdefectedelpargraf"/>
    <w:link w:val="Ttol2"/>
    <w:uiPriority w:val="9"/>
    <w:rsid w:val="005E5E27"/>
    <w:rPr>
      <w:rFonts w:ascii="Arial" w:hAnsi="Arial" w:eastAsia="Times New Roman" w:cs="Arial"/>
      <w:b/>
      <w:color w:val="ED7D31" w:themeColor="accent2"/>
      <w:sz w:val="36"/>
      <w:szCs w:val="36"/>
      <w:shd w:val="clear" w:color="auto" w:fill="FFFFFF"/>
      <w:lang w:val="ca-ES"/>
    </w:rPr>
  </w:style>
  <w:style w:type="character" w:styleId="Ttol3Car" w:customStyle="1">
    <w:name w:val="Títol 3 Car"/>
    <w:basedOn w:val="Tipusdelletraperdefectedelpargraf"/>
    <w:link w:val="Ttol3"/>
    <w:uiPriority w:val="9"/>
    <w:rsid w:val="00B634C1"/>
    <w:rPr>
      <w:rFonts w:ascii="Arial" w:hAnsi="Arial" w:eastAsia="Times New Roman" w:cs="Arial"/>
      <w:color w:val="595959" w:themeColor="text1" w:themeTint="A6"/>
      <w:sz w:val="36"/>
      <w:szCs w:val="22"/>
      <w:shd w:val="clear" w:color="auto" w:fill="FFFFFF"/>
      <w:lang w:val="en-US"/>
    </w:rPr>
  </w:style>
  <w:style w:type="character" w:styleId="Ttol4Car" w:customStyle="1">
    <w:name w:val="Títol 4 Car"/>
    <w:basedOn w:val="Tipusdelletraperdefectedelpargraf"/>
    <w:link w:val="Ttol4"/>
    <w:uiPriority w:val="9"/>
    <w:rsid w:val="00386460"/>
    <w:rPr>
      <w:rFonts w:ascii="Arial" w:hAnsi="Arial" w:eastAsia="Times New Roman" w:cs="Arial"/>
      <w:b/>
      <w:color w:val="000000" w:themeColor="text1"/>
      <w:sz w:val="22"/>
      <w:szCs w:val="22"/>
      <w:shd w:val="clear" w:color="auto" w:fill="FFFFFF"/>
      <w:lang w:val="en-US"/>
    </w:rPr>
  </w:style>
  <w:style w:type="paragraph" w:styleId="Destacat" w:customStyle="1">
    <w:name w:val="Destacat"/>
    <w:basedOn w:val="Normal"/>
    <w:qFormat/>
    <w:rsid w:val="00B634C1"/>
    <w:pPr>
      <w:pBdr>
        <w:top w:val="single" w:color="ED7D31" w:sz="4" w:space="5"/>
        <w:left w:val="single" w:color="ED7D31" w:sz="4" w:space="4"/>
        <w:bottom w:val="single" w:color="ED7D31" w:sz="4" w:space="5"/>
        <w:right w:val="single" w:color="ED7D31" w:sz="4" w:space="4"/>
      </w:pBdr>
      <w:shd w:val="pct5" w:color="auto" w:fill="FFFFFF"/>
      <w:spacing w:before="360" w:after="360"/>
    </w:pPr>
    <w:rPr>
      <w:b/>
    </w:rPr>
  </w:style>
  <w:style w:type="paragraph" w:styleId="Llistapunts2" w:customStyle="1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styleId="Listapunts2Darreralnia" w:customStyle="1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styleId="Llistapunts1" w:customStyle="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styleId="Llistapunts1Darreralnia" w:customStyle="1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Tipusdelletraperdefectedelpargraf"/>
    <w:uiPriority w:val="99"/>
    <w:unhideWhenUsed/>
    <w:rsid w:val="00386460"/>
    <w:rPr>
      <w:color w:val="0563C1" w:themeColor="hyperlink"/>
      <w:u w:val="single"/>
    </w:rPr>
  </w:style>
  <w:style w:type="paragraph" w:styleId="Enllacparticipa" w:customStyle="1">
    <w:name w:val="Enllac_participa"/>
    <w:qFormat/>
    <w:rsid w:val="00386460"/>
    <w:pPr>
      <w:ind w:hanging="567"/>
    </w:pPr>
    <w:rPr>
      <w:rFonts w:ascii="Arial" w:hAnsi="Arial" w:eastAsia="Times New Roman" w:cs="Arial"/>
      <w:b/>
      <w:color w:val="ED7D31"/>
      <w:sz w:val="22"/>
      <w:szCs w:val="22"/>
      <w:lang w:val="es-ES"/>
    </w:rPr>
  </w:style>
  <w:style w:type="paragraph" w:styleId="Textavs" w:customStyle="1">
    <w:name w:val="Text avís"/>
    <w:basedOn w:val="Normal"/>
    <w:qFormat/>
    <w:rsid w:val="00932D56"/>
    <w:pPr>
      <w:pBdr>
        <w:top w:val="single" w:color="ED7D31" w:sz="8" w:space="11"/>
        <w:left w:val="single" w:color="ED7D31" w:sz="8" w:space="11"/>
        <w:bottom w:val="single" w:color="ED7D31" w:sz="8" w:space="11"/>
        <w:right w:val="single" w:color="ED7D31" w:sz="8" w:space="1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  <w:lang w:val="en-GB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pisunyer.org/public/files/panel/informepart2020_cat.pptx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governobert.gencat.cat/ca/participacio-ciutadana/difusio-i-recerca/guies-breus-de-participacio-ciutadana/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yperlink" Target="https://governobert.gencat.cat/web/.content/30_ParticipacioCiutadana/04_Difusio_i_recerca/avaluacio_de_processos_participatius/Memoria_aval_PParticip_GC_2018_19_20200721.pdf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https://participacatalunya.cat/uploads/decidim/attachment/file/196/PRES_Consultes_pr%C3%A8vies_com_a_canal_de_participaci%C3%B3_2021_05_12.pdf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articipa.gencat.cat/processes/novalleiparticipacio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participacatalunya.cat/uploads/decidim/attachment/file/193/Plantilla_Marc_de_RefLOGO_NOU.docx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participacatalunya.cat/uploads/decidim/attachment/file/144/DGPC_Proc_3_Claus_comunicaci%C3%B3_processos.pdf" TargetMode="External" Id="rId22" /><Relationship Type="http://schemas.openxmlformats.org/officeDocument/2006/relationships/glossaryDocument" Target="glossary/document.xml" Id="R4bafcff0f97241c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f2ff-7631-476a-a7f2-adc6c231d22e}"/>
      </w:docPartPr>
      <w:docPartBody>
        <w:p w14:paraId="4543DB6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C6ACA-D4C4-477F-B67C-979DB129A3F7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598f3d-5199-46e9-abe8-f10701228389"/>
    <ds:schemaRef ds:uri="69c11177-adea-4a8c-9af1-53677545143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D8AA1A-C4E0-4617-88F4-D819AECDB8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PlantillaExteriors.dotx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Muñoz Casanova, Raquel</dc:creator>
  <keywords/>
  <dc:description/>
  <lastModifiedBy>Conte Santiago, Andrea</lastModifiedBy>
  <revision>6</revision>
  <dcterms:created xsi:type="dcterms:W3CDTF">2022-10-06T09:42:00.0000000Z</dcterms:created>
  <dcterms:modified xsi:type="dcterms:W3CDTF">2022-10-06T11:29:09.3386322Z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