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D83D3" w14:textId="5F0ED1EC" w:rsidR="00CC5EA7" w:rsidRPr="00977020" w:rsidRDefault="00CC5EA7" w:rsidP="003067FE">
      <w:pPr>
        <w:pStyle w:val="Ttol1"/>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EJE </w:t>
      </w:r>
      <w:r w:rsidR="0037303B" w:rsidRPr="00977020">
        <w:rPr>
          <w:rFonts w:asciiTheme="minorHAnsi" w:hAnsiTheme="minorHAnsi" w:cstheme="minorHAnsi"/>
          <w:color w:val="auto"/>
          <w:lang w:val="es-ES_tradnl"/>
        </w:rPr>
        <w:t>2</w:t>
      </w:r>
      <w:r w:rsidRPr="00977020">
        <w:rPr>
          <w:rFonts w:asciiTheme="minorHAnsi" w:hAnsiTheme="minorHAnsi" w:cstheme="minorHAnsi"/>
          <w:color w:val="auto"/>
          <w:lang w:val="es-ES_tradnl"/>
        </w:rPr>
        <w:t xml:space="preserve">: </w:t>
      </w:r>
      <w:r w:rsidR="0037303B" w:rsidRPr="00977020">
        <w:rPr>
          <w:rFonts w:asciiTheme="minorHAnsi" w:hAnsiTheme="minorHAnsi" w:cstheme="minorHAnsi"/>
          <w:color w:val="auto"/>
          <w:lang w:val="es-ES_tradnl"/>
        </w:rPr>
        <w:t>OPCIONES DE INGRESOS PARA GANAR ESPACIO PARA FINANCIAR NUEVAS INICIATIVAS</w:t>
      </w:r>
    </w:p>
    <w:p w14:paraId="28D30DC3" w14:textId="77777777" w:rsidR="00B7602C" w:rsidRPr="00977020" w:rsidRDefault="00B7602C" w:rsidP="003067FE">
      <w:pPr>
        <w:rPr>
          <w:rFonts w:asciiTheme="minorHAnsi" w:hAnsiTheme="minorHAnsi" w:cstheme="minorHAnsi"/>
          <w:color w:val="auto"/>
          <w:lang w:val="es-ES_tradnl"/>
        </w:rPr>
      </w:pPr>
      <w:r w:rsidRPr="00977020">
        <w:rPr>
          <w:rFonts w:asciiTheme="minorHAnsi" w:hAnsiTheme="minorHAnsi" w:cstheme="minorHAnsi"/>
          <w:color w:val="auto"/>
          <w:lang w:val="es-ES_tradnl"/>
        </w:rPr>
        <w:t>Proceso de participación sobre política presupuestaria</w:t>
      </w:r>
    </w:p>
    <w:p w14:paraId="77794ABC" w14:textId="77777777" w:rsidR="00FB7102" w:rsidRPr="00977020" w:rsidRDefault="00FB7102" w:rsidP="003067FE">
      <w:pPr>
        <w:rPr>
          <w:rFonts w:asciiTheme="minorHAnsi" w:hAnsiTheme="minorHAnsi" w:cstheme="minorHAnsi"/>
          <w:i/>
          <w:color w:val="auto"/>
          <w:lang w:val="es-ES_tradnl"/>
        </w:rPr>
      </w:pPr>
      <w:r w:rsidRPr="00977020">
        <w:rPr>
          <w:rFonts w:asciiTheme="minorHAnsi" w:hAnsiTheme="minorHAnsi" w:cstheme="minorHAnsi"/>
          <w:i/>
          <w:color w:val="auto"/>
          <w:lang w:val="es-ES_tradnl"/>
        </w:rPr>
        <w:t>Hablamos de presupuestos (edición 2024)</w:t>
      </w:r>
    </w:p>
    <w:p w14:paraId="30294EBC" w14:textId="6A9153FC" w:rsidR="002E32A7" w:rsidRPr="00977020" w:rsidRDefault="00127C83" w:rsidP="003067FE">
      <w:pPr>
        <w:rPr>
          <w:rStyle w:val="Enlla"/>
          <w:rFonts w:asciiTheme="minorHAnsi" w:hAnsiTheme="minorHAnsi" w:cstheme="minorHAnsi"/>
          <w:color w:val="auto"/>
          <w:lang w:val="es-ES_tradnl"/>
        </w:rPr>
        <w:sectPr w:rsidR="002E32A7" w:rsidRPr="00977020" w:rsidSect="00386460">
          <w:headerReference w:type="default" r:id="rId11"/>
          <w:footerReference w:type="even" r:id="rId12"/>
          <w:footerReference w:type="default" r:id="rId13"/>
          <w:headerReference w:type="first" r:id="rId14"/>
          <w:footerReference w:type="first" r:id="rId15"/>
          <w:pgSz w:w="11907" w:h="16840" w:code="9"/>
          <w:pgMar w:top="2835" w:right="1134" w:bottom="1985" w:left="1701" w:header="709" w:footer="567" w:gutter="0"/>
          <w:cols w:space="708"/>
          <w:titlePg/>
          <w:docGrid w:linePitch="360"/>
        </w:sectPr>
      </w:pPr>
      <w:r w:rsidRPr="00977020">
        <w:rPr>
          <w:color w:val="auto"/>
          <w:lang w:val="es-ES_tradnl"/>
        </w:rPr>
        <w:fldChar w:fldCharType="begin"/>
      </w:r>
      <w:r w:rsidRPr="00977020">
        <w:rPr>
          <w:color w:val="auto"/>
          <w:lang w:val="es-ES_tradnl"/>
        </w:rPr>
        <w:instrText xml:space="preserve"> HYPERLINK "https://participa.gencat.cat/processes/politicapressupostaria%0c" </w:instrText>
      </w:r>
      <w:r w:rsidRPr="00977020">
        <w:rPr>
          <w:color w:val="auto"/>
          <w:lang w:val="es-ES_tradnl"/>
        </w:rPr>
        <w:fldChar w:fldCharType="separate"/>
      </w:r>
      <w:r w:rsidRPr="00977020">
        <w:rPr>
          <w:rStyle w:val="Enlla"/>
          <w:color w:val="auto"/>
          <w:lang w:val="es-ES_tradnl"/>
        </w:rPr>
        <w:t>https://participa.gencat.cat/processes/politicapressupostaria</w:t>
      </w:r>
    </w:p>
    <w:p w14:paraId="7F669B24" w14:textId="68E9840E" w:rsidR="00CC490C" w:rsidRPr="00977020" w:rsidRDefault="00127C83" w:rsidP="003067FE">
      <w:pPr>
        <w:shd w:val="clear" w:color="auto" w:fill="auto"/>
        <w:spacing w:before="120" w:afterLines="100" w:after="240" w:line="276" w:lineRule="auto"/>
        <w:rPr>
          <w:rFonts w:asciiTheme="minorHAnsi" w:hAnsiTheme="minorHAnsi" w:cstheme="minorHAnsi"/>
          <w:b/>
          <w:color w:val="auto"/>
          <w:sz w:val="32"/>
          <w:lang w:val="es-ES_tradnl"/>
        </w:rPr>
      </w:pPr>
      <w:r w:rsidRPr="00977020">
        <w:rPr>
          <w:b/>
          <w:color w:val="auto"/>
          <w:lang w:val="es-ES_tradnl"/>
        </w:rPr>
        <w:lastRenderedPageBreak/>
        <w:fldChar w:fldCharType="end"/>
      </w:r>
      <w:r w:rsidR="00CC490C" w:rsidRPr="00977020">
        <w:rPr>
          <w:rFonts w:asciiTheme="minorHAnsi" w:hAnsiTheme="minorHAnsi" w:cstheme="minorHAnsi"/>
          <w:b/>
          <w:color w:val="auto"/>
          <w:sz w:val="32"/>
          <w:lang w:val="es-ES_tradnl"/>
        </w:rPr>
        <w:t>Explicación del eje</w:t>
      </w:r>
    </w:p>
    <w:p w14:paraId="5C0C7F08" w14:textId="1145E48B" w:rsidR="00CC490C" w:rsidRPr="00977020" w:rsidRDefault="00CC490C"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El </w:t>
      </w:r>
      <w:r w:rsidRPr="00977020">
        <w:rPr>
          <w:rFonts w:asciiTheme="minorHAnsi" w:hAnsiTheme="minorHAnsi" w:cstheme="minorHAnsi"/>
          <w:b/>
          <w:color w:val="auto"/>
          <w:lang w:val="es-ES_tradnl"/>
        </w:rPr>
        <w:t>mantenimiento o continuidad de las políticas actuales</w:t>
      </w:r>
      <w:r w:rsidRPr="00977020">
        <w:rPr>
          <w:rFonts w:asciiTheme="minorHAnsi" w:hAnsiTheme="minorHAnsi" w:cstheme="minorHAnsi"/>
          <w:color w:val="auto"/>
          <w:lang w:val="es-ES_tradnl"/>
        </w:rPr>
        <w:t xml:space="preserve"> acostumbra a suponer una </w:t>
      </w:r>
      <w:r w:rsidRPr="00977020">
        <w:rPr>
          <w:rFonts w:asciiTheme="minorHAnsi" w:hAnsiTheme="minorHAnsi" w:cstheme="minorHAnsi"/>
          <w:b/>
          <w:color w:val="auto"/>
          <w:lang w:val="es-ES_tradnl"/>
        </w:rPr>
        <w:t>dinámica de crecimiento de los gastos</w:t>
      </w:r>
      <w:r w:rsidRPr="00977020">
        <w:rPr>
          <w:rFonts w:asciiTheme="minorHAnsi" w:hAnsiTheme="minorHAnsi" w:cstheme="minorHAnsi"/>
          <w:color w:val="auto"/>
          <w:lang w:val="es-ES_tradnl"/>
        </w:rPr>
        <w:t xml:space="preserve">, especialmente con respecto a los gastos corrientes u ordinarios. Los incrementos de precios de los materiales, suministros, servicios y otros, los incrementos de las retribuciones de los empleados, el impacto de compromisos y convenios, la entrada en funcionamiento de equipamientos y otras inversiones, así como una cada mayor población que demanda a estos servicios, hace que la mera </w:t>
      </w:r>
      <w:r w:rsidRPr="00977020">
        <w:rPr>
          <w:rFonts w:asciiTheme="minorHAnsi" w:hAnsiTheme="minorHAnsi" w:cstheme="minorHAnsi"/>
          <w:b/>
          <w:color w:val="auto"/>
          <w:lang w:val="es-ES_tradnl"/>
        </w:rPr>
        <w:t xml:space="preserve">continuidad de las políticas actuales suponga año </w:t>
      </w:r>
      <w:r w:rsidR="00AE2C4D">
        <w:rPr>
          <w:rFonts w:asciiTheme="minorHAnsi" w:hAnsiTheme="minorHAnsi" w:cstheme="minorHAnsi"/>
          <w:b/>
          <w:color w:val="auto"/>
          <w:lang w:val="es-ES_tradnl"/>
        </w:rPr>
        <w:t>a</w:t>
      </w:r>
      <w:r w:rsidRPr="00977020">
        <w:rPr>
          <w:rFonts w:asciiTheme="minorHAnsi" w:hAnsiTheme="minorHAnsi" w:cstheme="minorHAnsi"/>
          <w:b/>
          <w:color w:val="auto"/>
          <w:lang w:val="es-ES_tradnl"/>
        </w:rPr>
        <w:t xml:space="preserve"> año un notable incremento de los gastos presupuestarios</w:t>
      </w:r>
      <w:r w:rsidRPr="00977020">
        <w:rPr>
          <w:rFonts w:asciiTheme="minorHAnsi" w:hAnsiTheme="minorHAnsi" w:cstheme="minorHAnsi"/>
          <w:color w:val="auto"/>
          <w:lang w:val="es-ES_tradnl"/>
        </w:rPr>
        <w:t xml:space="preserve">.  </w:t>
      </w:r>
    </w:p>
    <w:p w14:paraId="667241F3" w14:textId="77777777" w:rsidR="00CC490C" w:rsidRPr="00977020" w:rsidRDefault="00CC490C"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La dinámica de crecimiento de estos gastos de continuidad (también dichos como “gastos tendenciales” o “base”) hace que se pueda </w:t>
      </w:r>
      <w:r w:rsidRPr="00977020">
        <w:rPr>
          <w:rFonts w:asciiTheme="minorHAnsi" w:hAnsiTheme="minorHAnsi" w:cstheme="minorHAnsi"/>
          <w:b/>
          <w:color w:val="auto"/>
          <w:lang w:val="es-ES_tradnl"/>
        </w:rPr>
        <w:t>consumir una parte sustancial de los mayores ingresos</w:t>
      </w:r>
      <w:r w:rsidRPr="00977020">
        <w:rPr>
          <w:rFonts w:asciiTheme="minorHAnsi" w:hAnsiTheme="minorHAnsi" w:cstheme="minorHAnsi"/>
          <w:color w:val="auto"/>
          <w:lang w:val="es-ES_tradnl"/>
        </w:rPr>
        <w:t xml:space="preserve"> (si eso se da) de un año al otro, </w:t>
      </w:r>
      <w:r w:rsidRPr="00977020">
        <w:rPr>
          <w:rFonts w:asciiTheme="minorHAnsi" w:hAnsiTheme="minorHAnsi" w:cstheme="minorHAnsi"/>
          <w:b/>
          <w:color w:val="auto"/>
          <w:lang w:val="es-ES_tradnl"/>
        </w:rPr>
        <w:t>dejando muy poco espacio para poder financiar nuevas iniciativas o cambios en las políticas</w:t>
      </w:r>
      <w:r w:rsidRPr="00977020">
        <w:rPr>
          <w:rFonts w:asciiTheme="minorHAnsi" w:hAnsiTheme="minorHAnsi" w:cstheme="minorHAnsi"/>
          <w:color w:val="auto"/>
          <w:lang w:val="es-ES_tradnl"/>
        </w:rPr>
        <w:t xml:space="preserve"> (nuevos servicios o proyectos, expansión en el número o calidad de los servicios actuales...). </w:t>
      </w:r>
    </w:p>
    <w:p w14:paraId="485904A2" w14:textId="77777777" w:rsidR="00CC490C" w:rsidRPr="00977020" w:rsidRDefault="00CC490C"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La </w:t>
      </w:r>
      <w:r w:rsidRPr="00977020">
        <w:rPr>
          <w:rFonts w:asciiTheme="minorHAnsi" w:hAnsiTheme="minorHAnsi" w:cstheme="minorHAnsi"/>
          <w:b/>
          <w:color w:val="auto"/>
          <w:lang w:val="es-ES_tradnl"/>
        </w:rPr>
        <w:t>diferencia entre el máximo que puede gastar una administración pública</w:t>
      </w:r>
      <w:r w:rsidRPr="00977020">
        <w:rPr>
          <w:rFonts w:asciiTheme="minorHAnsi" w:hAnsiTheme="minorHAnsi" w:cstheme="minorHAnsi"/>
          <w:color w:val="auto"/>
          <w:lang w:val="es-ES_tradnl"/>
        </w:rPr>
        <w:t xml:space="preserve"> (dada una previsión de ingresos y unos objetivos financieros a alcanzar) </w:t>
      </w:r>
      <w:r w:rsidRPr="00977020">
        <w:rPr>
          <w:rFonts w:asciiTheme="minorHAnsi" w:hAnsiTheme="minorHAnsi" w:cstheme="minorHAnsi"/>
          <w:b/>
          <w:color w:val="auto"/>
          <w:lang w:val="es-ES_tradnl"/>
        </w:rPr>
        <w:t>y los gastos que suponen la continuidad de las políticas actuales</w:t>
      </w:r>
      <w:r w:rsidRPr="00977020">
        <w:rPr>
          <w:rFonts w:asciiTheme="minorHAnsi" w:hAnsiTheme="minorHAnsi" w:cstheme="minorHAnsi"/>
          <w:color w:val="auto"/>
          <w:lang w:val="es-ES_tradnl"/>
        </w:rPr>
        <w:t xml:space="preserve">, se lo acostumbra a conocer como </w:t>
      </w:r>
      <w:r w:rsidRPr="00977020">
        <w:rPr>
          <w:rFonts w:asciiTheme="minorHAnsi" w:hAnsiTheme="minorHAnsi" w:cstheme="minorHAnsi"/>
          <w:b/>
          <w:color w:val="auto"/>
          <w:lang w:val="es-ES_tradnl"/>
        </w:rPr>
        <w:t>“espacio (o margen) presupuestario”.</w:t>
      </w:r>
      <w:r w:rsidRPr="00977020">
        <w:rPr>
          <w:rFonts w:asciiTheme="minorHAnsi" w:hAnsiTheme="minorHAnsi" w:cstheme="minorHAnsi"/>
          <w:color w:val="auto"/>
          <w:lang w:val="es-ES_tradnl"/>
        </w:rPr>
        <w:t xml:space="preserve"> Este espacio presupuestario puede ser positivo (hay margen para hacer cosas nuevas o cambios), cero, o negativo (hace falta ajustar el gasto para qué y quepa dentro del máximo de gasto alcanzable). Como se ha anticipado, en muchas administraciones públicas, </w:t>
      </w:r>
      <w:r w:rsidRPr="00977020">
        <w:rPr>
          <w:rFonts w:asciiTheme="minorHAnsi" w:hAnsiTheme="minorHAnsi" w:cstheme="minorHAnsi"/>
          <w:b/>
          <w:color w:val="auto"/>
          <w:lang w:val="es-ES_tradnl"/>
        </w:rPr>
        <w:t>este espacio presupuestario es muy reducido, o incluso puede ser negativo</w:t>
      </w:r>
      <w:r w:rsidRPr="00977020">
        <w:rPr>
          <w:rFonts w:asciiTheme="minorHAnsi" w:hAnsiTheme="minorHAnsi" w:cstheme="minorHAnsi"/>
          <w:color w:val="auto"/>
          <w:lang w:val="es-ES_tradnl"/>
        </w:rPr>
        <w:t xml:space="preserve">. </w:t>
      </w:r>
    </w:p>
    <w:p w14:paraId="1A139046" w14:textId="6F935AB7" w:rsidR="00CC490C" w:rsidRPr="00977020" w:rsidRDefault="00CC490C"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Dentro de estos casos frecuentes, se encuentra también la </w:t>
      </w:r>
      <w:r w:rsidRPr="00977020">
        <w:rPr>
          <w:rFonts w:asciiTheme="minorHAnsi" w:hAnsiTheme="minorHAnsi" w:cstheme="minorHAnsi"/>
          <w:b/>
          <w:color w:val="auto"/>
          <w:lang w:val="es-ES_tradnl"/>
        </w:rPr>
        <w:t>Generalitat de Catalunya</w:t>
      </w:r>
      <w:r w:rsidRPr="00977020">
        <w:rPr>
          <w:rFonts w:asciiTheme="minorHAnsi" w:hAnsiTheme="minorHAnsi" w:cstheme="minorHAnsi"/>
          <w:color w:val="auto"/>
          <w:lang w:val="es-ES_tradnl"/>
        </w:rPr>
        <w:t xml:space="preserve">, </w:t>
      </w:r>
      <w:r w:rsidR="00A37C78" w:rsidRPr="00977020">
        <w:rPr>
          <w:rFonts w:asciiTheme="minorHAnsi" w:hAnsiTheme="minorHAnsi" w:cstheme="minorHAnsi"/>
          <w:color w:val="auto"/>
          <w:lang w:val="es-ES_tradnl"/>
        </w:rPr>
        <w:t>donde</w:t>
      </w:r>
      <w:r w:rsidRPr="00977020">
        <w:rPr>
          <w:rFonts w:asciiTheme="minorHAnsi" w:hAnsiTheme="minorHAnsi" w:cstheme="minorHAnsi"/>
          <w:color w:val="auto"/>
          <w:lang w:val="es-ES_tradnl"/>
        </w:rPr>
        <w:t xml:space="preserve"> el incremento de recursos relativos al modelo de financiación de las comunidades autónomas, la definición de los objetivos de estabilidad presupuestaria y sostenibilidad financiera, y la dinámica de crecimiento de gastos que supone </w:t>
      </w:r>
      <w:r w:rsidRPr="00977020">
        <w:rPr>
          <w:rFonts w:asciiTheme="minorHAnsi" w:hAnsiTheme="minorHAnsi" w:cstheme="minorHAnsi"/>
          <w:b/>
          <w:color w:val="auto"/>
          <w:lang w:val="es-ES_tradnl"/>
        </w:rPr>
        <w:t>la continuidad de políticas como salud, educación, servicios sociales o transporte públicos, hace que el espacio presupuestario sea muy reducido</w:t>
      </w:r>
      <w:r w:rsidRPr="00977020">
        <w:rPr>
          <w:rFonts w:asciiTheme="minorHAnsi" w:hAnsiTheme="minorHAnsi" w:cstheme="minorHAnsi"/>
          <w:color w:val="auto"/>
          <w:lang w:val="es-ES_tradnl"/>
        </w:rPr>
        <w:t xml:space="preserve">. Además, el impacto de la </w:t>
      </w:r>
      <w:r w:rsidRPr="00977020">
        <w:rPr>
          <w:rFonts w:asciiTheme="minorHAnsi" w:hAnsiTheme="minorHAnsi" w:cstheme="minorHAnsi"/>
          <w:b/>
          <w:color w:val="auto"/>
          <w:lang w:val="es-ES_tradnl"/>
        </w:rPr>
        <w:t>inflación</w:t>
      </w:r>
      <w:r w:rsidRPr="00977020">
        <w:rPr>
          <w:rFonts w:asciiTheme="minorHAnsi" w:hAnsiTheme="minorHAnsi" w:cstheme="minorHAnsi"/>
          <w:color w:val="auto"/>
          <w:lang w:val="es-ES_tradnl"/>
        </w:rPr>
        <w:t xml:space="preserve">, </w:t>
      </w:r>
      <w:r w:rsidRPr="00977020">
        <w:rPr>
          <w:rFonts w:asciiTheme="minorHAnsi" w:hAnsiTheme="minorHAnsi" w:cstheme="minorHAnsi"/>
          <w:b/>
          <w:color w:val="auto"/>
          <w:lang w:val="es-ES_tradnl"/>
        </w:rPr>
        <w:t>el incremento de los tipos de interés</w:t>
      </w:r>
      <w:r w:rsidRPr="00977020">
        <w:rPr>
          <w:rFonts w:asciiTheme="minorHAnsi" w:hAnsiTheme="minorHAnsi" w:cstheme="minorHAnsi"/>
          <w:color w:val="auto"/>
          <w:lang w:val="es-ES_tradnl"/>
        </w:rPr>
        <w:t xml:space="preserve"> (que afectan a los intereses de la deuda) y del </w:t>
      </w:r>
      <w:r w:rsidRPr="00977020">
        <w:rPr>
          <w:rFonts w:asciiTheme="minorHAnsi" w:hAnsiTheme="minorHAnsi" w:cstheme="minorHAnsi"/>
          <w:b/>
          <w:color w:val="auto"/>
          <w:lang w:val="es-ES_tradnl"/>
        </w:rPr>
        <w:t xml:space="preserve">envejecimiento de la población </w:t>
      </w:r>
      <w:r w:rsidRPr="00977020">
        <w:rPr>
          <w:rFonts w:asciiTheme="minorHAnsi" w:hAnsiTheme="minorHAnsi" w:cstheme="minorHAnsi"/>
          <w:color w:val="auto"/>
          <w:lang w:val="es-ES_tradnl"/>
        </w:rPr>
        <w:t xml:space="preserve">(mayor demanda de servicios sanitarios y sociales actuales) </w:t>
      </w:r>
      <w:r w:rsidRPr="00977020">
        <w:rPr>
          <w:rFonts w:asciiTheme="minorHAnsi" w:hAnsiTheme="minorHAnsi" w:cstheme="minorHAnsi"/>
          <w:b/>
          <w:color w:val="auto"/>
          <w:lang w:val="es-ES_tradnl"/>
        </w:rPr>
        <w:t>añaden presión a los gastos de continuidad (o tendencial), haciendo que este espacio presupuestario pueda ser todavía más reducido.</w:t>
      </w:r>
      <w:r w:rsidRPr="00977020">
        <w:rPr>
          <w:rFonts w:asciiTheme="minorHAnsi" w:hAnsiTheme="minorHAnsi" w:cstheme="minorHAnsi"/>
          <w:color w:val="auto"/>
          <w:lang w:val="es-ES_tradnl"/>
        </w:rPr>
        <w:t xml:space="preserve">  </w:t>
      </w:r>
    </w:p>
    <w:p w14:paraId="7B928399" w14:textId="77777777" w:rsidR="00CC490C" w:rsidRPr="00977020" w:rsidRDefault="00CC490C"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Por otro lado, los diferentes </w:t>
      </w:r>
      <w:r w:rsidRPr="00977020">
        <w:rPr>
          <w:rFonts w:asciiTheme="minorHAnsi" w:hAnsiTheme="minorHAnsi" w:cstheme="minorHAnsi"/>
          <w:b/>
          <w:color w:val="auto"/>
          <w:lang w:val="es-ES_tradnl"/>
        </w:rPr>
        <w:t>retos actuales y futuros</w:t>
      </w:r>
      <w:r w:rsidRPr="00977020">
        <w:rPr>
          <w:rFonts w:asciiTheme="minorHAnsi" w:hAnsiTheme="minorHAnsi" w:cstheme="minorHAnsi"/>
          <w:color w:val="auto"/>
          <w:lang w:val="es-ES_tradnl"/>
        </w:rPr>
        <w:t xml:space="preserve"> (como, la mitigación y adaptación al cambio climático) en qué hace frente Cataluña ponen de relieve la </w:t>
      </w:r>
      <w:r w:rsidRPr="00977020">
        <w:rPr>
          <w:rFonts w:asciiTheme="minorHAnsi" w:hAnsiTheme="minorHAnsi" w:cstheme="minorHAnsi"/>
          <w:b/>
          <w:color w:val="auto"/>
          <w:lang w:val="es-ES_tradnl"/>
        </w:rPr>
        <w:t>necesidad de contar con un mayor espacio presupuestario</w:t>
      </w:r>
      <w:r w:rsidRPr="00977020">
        <w:rPr>
          <w:rFonts w:asciiTheme="minorHAnsi" w:hAnsiTheme="minorHAnsi" w:cstheme="minorHAnsi"/>
          <w:color w:val="auto"/>
          <w:lang w:val="es-ES_tradnl"/>
        </w:rPr>
        <w:t xml:space="preserve">, con el fin de poder financiar aquellos nuevos proyectos o servicios, así como mejoras o expansiones en las políticas actuales, que puedan contribuir significativamente a estos retos.  </w:t>
      </w:r>
    </w:p>
    <w:p w14:paraId="3ECF914C" w14:textId="0780E61A" w:rsidR="00CC490C" w:rsidRPr="00977020" w:rsidRDefault="00CC490C"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Para la </w:t>
      </w:r>
      <w:r w:rsidRPr="00977020">
        <w:rPr>
          <w:rFonts w:asciiTheme="minorHAnsi" w:hAnsiTheme="minorHAnsi" w:cstheme="minorHAnsi"/>
          <w:b/>
          <w:color w:val="auto"/>
          <w:lang w:val="es-ES_tradnl"/>
        </w:rPr>
        <w:t>generación de mayor espacio presupuestario</w:t>
      </w:r>
      <w:r w:rsidRPr="00977020">
        <w:rPr>
          <w:rFonts w:asciiTheme="minorHAnsi" w:hAnsiTheme="minorHAnsi" w:cstheme="minorHAnsi"/>
          <w:color w:val="auto"/>
          <w:lang w:val="es-ES_tradnl"/>
        </w:rPr>
        <w:t xml:space="preserve">, las </w:t>
      </w:r>
      <w:r w:rsidR="00D57ED2" w:rsidRPr="00977020">
        <w:rPr>
          <w:rFonts w:asciiTheme="minorHAnsi" w:hAnsiTheme="minorHAnsi" w:cstheme="minorHAnsi"/>
          <w:color w:val="auto"/>
          <w:lang w:val="es-ES_tradnl"/>
        </w:rPr>
        <w:t xml:space="preserve">principales posibles acciones </w:t>
      </w:r>
      <w:r w:rsidRPr="00977020">
        <w:rPr>
          <w:rFonts w:asciiTheme="minorHAnsi" w:hAnsiTheme="minorHAnsi" w:cstheme="minorHAnsi"/>
          <w:color w:val="auto"/>
          <w:lang w:val="es-ES_tradnl"/>
        </w:rPr>
        <w:t>se basan en la a</w:t>
      </w:r>
      <w:r w:rsidRPr="00977020">
        <w:rPr>
          <w:rFonts w:asciiTheme="minorHAnsi" w:hAnsiTheme="minorHAnsi" w:cstheme="minorHAnsi"/>
          <w:b/>
          <w:color w:val="auto"/>
          <w:lang w:val="es-ES_tradnl"/>
        </w:rPr>
        <w:t xml:space="preserve">dopción de medidas de ingreso </w:t>
      </w:r>
      <w:r w:rsidRPr="00977020">
        <w:rPr>
          <w:rFonts w:asciiTheme="minorHAnsi" w:hAnsiTheme="minorHAnsi" w:cstheme="minorHAnsi"/>
          <w:color w:val="auto"/>
          <w:lang w:val="es-ES_tradnl"/>
        </w:rPr>
        <w:t xml:space="preserve">(mayores ingresos (incrementos de tipo, menores deducciones o bonificaciones...)), </w:t>
      </w:r>
      <w:r w:rsidRPr="00977020">
        <w:rPr>
          <w:rFonts w:asciiTheme="minorHAnsi" w:hAnsiTheme="minorHAnsi" w:cstheme="minorHAnsi"/>
          <w:b/>
          <w:color w:val="auto"/>
          <w:lang w:val="es-ES_tradnl"/>
        </w:rPr>
        <w:t>medidas de gastos</w:t>
      </w:r>
      <w:r w:rsidRPr="00977020">
        <w:rPr>
          <w:rFonts w:asciiTheme="minorHAnsi" w:hAnsiTheme="minorHAnsi" w:cstheme="minorHAnsi"/>
          <w:color w:val="auto"/>
          <w:lang w:val="es-ES_tradnl"/>
        </w:rPr>
        <w:t xml:space="preserve"> (</w:t>
      </w:r>
      <w:r w:rsidR="00D57ED2" w:rsidRPr="00977020">
        <w:rPr>
          <w:rFonts w:asciiTheme="minorHAnsi" w:hAnsiTheme="minorHAnsi" w:cstheme="minorHAnsi"/>
          <w:color w:val="auto"/>
          <w:lang w:val="es-ES_tradnl"/>
        </w:rPr>
        <w:t>ajuste de los</w:t>
      </w:r>
      <w:r w:rsidRPr="00977020">
        <w:rPr>
          <w:rFonts w:asciiTheme="minorHAnsi" w:hAnsiTheme="minorHAnsi" w:cstheme="minorHAnsi"/>
          <w:color w:val="auto"/>
          <w:lang w:val="es-ES_tradnl"/>
        </w:rPr>
        <w:t xml:space="preserve"> gastos de continuidad (mayor eficiencia, reducción de gastos menos prioritarios, priorización...)) </w:t>
      </w:r>
      <w:r w:rsidRPr="00977020">
        <w:rPr>
          <w:rFonts w:asciiTheme="minorHAnsi" w:hAnsiTheme="minorHAnsi" w:cstheme="minorHAnsi"/>
          <w:b/>
          <w:color w:val="auto"/>
          <w:lang w:val="es-ES_tradnl"/>
        </w:rPr>
        <w:t>o una combinación de ambas</w:t>
      </w:r>
      <w:r w:rsidRPr="00977020">
        <w:rPr>
          <w:rFonts w:asciiTheme="minorHAnsi" w:hAnsiTheme="minorHAnsi" w:cstheme="minorHAnsi"/>
          <w:color w:val="auto"/>
          <w:lang w:val="es-ES_tradnl"/>
        </w:rPr>
        <w:t>.</w:t>
      </w:r>
    </w:p>
    <w:p w14:paraId="617C06FE" w14:textId="1AAFFC24" w:rsidR="00CC490C" w:rsidRPr="00977020" w:rsidRDefault="00CC490C" w:rsidP="003067FE">
      <w:pPr>
        <w:pBdr>
          <w:top w:val="single" w:sz="4" w:space="1" w:color="auto"/>
          <w:left w:val="single" w:sz="4" w:space="4" w:color="auto"/>
          <w:bottom w:val="single" w:sz="4" w:space="1" w:color="auto"/>
          <w:right w:val="single" w:sz="4" w:space="4" w:color="auto"/>
        </w:pBd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El presente eje de debate tiene por objeto la </w:t>
      </w:r>
      <w:r w:rsidRPr="00977020">
        <w:rPr>
          <w:rFonts w:asciiTheme="minorHAnsi" w:hAnsiTheme="minorHAnsi" w:cstheme="minorHAnsi"/>
          <w:b/>
          <w:color w:val="auto"/>
          <w:lang w:val="es-ES_tradnl"/>
        </w:rPr>
        <w:t xml:space="preserve">discusión hacia diferentes posibles opciones </w:t>
      </w:r>
      <w:r w:rsidR="007D5DC8" w:rsidRPr="00977020">
        <w:rPr>
          <w:rFonts w:asciiTheme="minorHAnsi" w:hAnsiTheme="minorHAnsi" w:cstheme="minorHAnsi"/>
          <w:b/>
          <w:color w:val="auto"/>
          <w:lang w:val="es-ES_tradnl"/>
        </w:rPr>
        <w:t xml:space="preserve">de </w:t>
      </w:r>
      <w:proofErr w:type="spellStart"/>
      <w:r w:rsidRPr="00977020">
        <w:rPr>
          <w:rFonts w:asciiTheme="minorHAnsi" w:hAnsiTheme="minorHAnsi" w:cstheme="minorHAnsi"/>
          <w:b/>
          <w:color w:val="auto"/>
          <w:lang w:val="es-ES_tradnl"/>
        </w:rPr>
        <w:t>de</w:t>
      </w:r>
      <w:proofErr w:type="spellEnd"/>
      <w:r w:rsidRPr="00977020">
        <w:rPr>
          <w:rFonts w:asciiTheme="minorHAnsi" w:hAnsiTheme="minorHAnsi" w:cstheme="minorHAnsi"/>
          <w:b/>
          <w:color w:val="auto"/>
          <w:lang w:val="es-ES_tradnl"/>
        </w:rPr>
        <w:t xml:space="preserve"> ingresos y gastos </w:t>
      </w:r>
      <w:r w:rsidRPr="00977020">
        <w:rPr>
          <w:rFonts w:asciiTheme="minorHAnsi" w:hAnsiTheme="minorHAnsi" w:cstheme="minorHAnsi"/>
          <w:color w:val="auto"/>
          <w:lang w:val="es-ES_tradnl"/>
        </w:rPr>
        <w:t xml:space="preserve">con el fin </w:t>
      </w:r>
      <w:proofErr w:type="gramStart"/>
      <w:r w:rsidRPr="00977020">
        <w:rPr>
          <w:rFonts w:asciiTheme="minorHAnsi" w:hAnsiTheme="minorHAnsi" w:cstheme="minorHAnsi"/>
          <w:color w:val="auto"/>
          <w:lang w:val="es-ES_tradnl"/>
        </w:rPr>
        <w:t xml:space="preserve">de  </w:t>
      </w:r>
      <w:r w:rsidRPr="00977020">
        <w:rPr>
          <w:rFonts w:asciiTheme="minorHAnsi" w:hAnsiTheme="minorHAnsi" w:cstheme="minorHAnsi"/>
          <w:b/>
          <w:color w:val="auto"/>
          <w:lang w:val="es-ES_tradnl"/>
        </w:rPr>
        <w:t>ganar</w:t>
      </w:r>
      <w:proofErr w:type="gramEnd"/>
      <w:r w:rsidRPr="00977020">
        <w:rPr>
          <w:rFonts w:asciiTheme="minorHAnsi" w:hAnsiTheme="minorHAnsi" w:cstheme="minorHAnsi"/>
          <w:b/>
          <w:color w:val="auto"/>
          <w:lang w:val="es-ES_tradnl"/>
        </w:rPr>
        <w:t xml:space="preserve"> mayor espacio presupuestario</w:t>
      </w:r>
      <w:r w:rsidRPr="00977020">
        <w:rPr>
          <w:rFonts w:asciiTheme="minorHAnsi" w:hAnsiTheme="minorHAnsi" w:cstheme="minorHAnsi"/>
          <w:color w:val="auto"/>
          <w:lang w:val="es-ES_tradnl"/>
        </w:rPr>
        <w:t xml:space="preserve"> a la Generalitat de Catalunya, y poder hacer frente a los retos actuales y futuros con la </w:t>
      </w:r>
      <w:r w:rsidRPr="00977020">
        <w:rPr>
          <w:rFonts w:asciiTheme="minorHAnsi" w:hAnsiTheme="minorHAnsi" w:cstheme="minorHAnsi"/>
          <w:b/>
          <w:color w:val="auto"/>
          <w:lang w:val="es-ES_tradnl"/>
        </w:rPr>
        <w:t>financiación de nuevas iniciativas o cambios en las políticas actuales</w:t>
      </w:r>
      <w:r w:rsidRPr="00977020">
        <w:rPr>
          <w:rFonts w:asciiTheme="minorHAnsi" w:hAnsiTheme="minorHAnsi" w:cstheme="minorHAnsi"/>
          <w:color w:val="auto"/>
          <w:lang w:val="es-ES_tradnl"/>
        </w:rPr>
        <w:t>.</w:t>
      </w:r>
    </w:p>
    <w:p w14:paraId="37B58A6D" w14:textId="3E4A113C" w:rsidR="00714A61" w:rsidRPr="00977020" w:rsidRDefault="00714A61" w:rsidP="003067FE">
      <w:pPr>
        <w:shd w:val="clear" w:color="auto" w:fill="auto"/>
        <w:spacing w:before="120" w:afterLines="100" w:after="240" w:line="276" w:lineRule="auto"/>
        <w:rPr>
          <w:rFonts w:asciiTheme="minorHAnsi" w:hAnsiTheme="minorHAnsi" w:cstheme="minorHAnsi"/>
          <w:color w:val="auto"/>
          <w:lang w:val="es-ES_tradnl"/>
        </w:rPr>
      </w:pPr>
    </w:p>
    <w:p w14:paraId="38AFABA6" w14:textId="77777777" w:rsidR="0013560D" w:rsidRPr="00977020" w:rsidRDefault="0013560D" w:rsidP="003067FE">
      <w:pPr>
        <w:shd w:val="clear" w:color="auto" w:fill="auto"/>
        <w:spacing w:before="120" w:afterLines="100" w:after="240" w:line="276" w:lineRule="auto"/>
        <w:rPr>
          <w:rFonts w:asciiTheme="minorHAnsi" w:hAnsiTheme="minorHAnsi" w:cstheme="minorHAnsi"/>
          <w:b/>
          <w:color w:val="auto"/>
          <w:sz w:val="32"/>
          <w:szCs w:val="32"/>
          <w:lang w:val="es-ES_tradnl"/>
        </w:rPr>
      </w:pPr>
      <w:r w:rsidRPr="00977020">
        <w:rPr>
          <w:rFonts w:asciiTheme="minorHAnsi" w:hAnsiTheme="minorHAnsi" w:cstheme="minorHAnsi"/>
          <w:b/>
          <w:color w:val="auto"/>
          <w:sz w:val="32"/>
          <w:szCs w:val="32"/>
          <w:lang w:val="es-ES_tradnl"/>
        </w:rPr>
        <w:t>¿A qué decisiones presupuestarias dará apoyo este eje de debate?</w:t>
      </w:r>
    </w:p>
    <w:p w14:paraId="7B85EDC6" w14:textId="4D8CE65C" w:rsidR="001A2A39" w:rsidRPr="00977020" w:rsidRDefault="0013560D"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Los resultados obtenidos en este eje de debate en los diferentes canales de participación servirán para </w:t>
      </w:r>
      <w:r w:rsidRPr="00977020">
        <w:rPr>
          <w:rFonts w:asciiTheme="minorHAnsi" w:hAnsiTheme="minorHAnsi" w:cstheme="minorHAnsi"/>
          <w:b/>
          <w:color w:val="auto"/>
          <w:lang w:val="es-ES_tradnl"/>
        </w:rPr>
        <w:t>informar la toma de decisiones relativas a la definición de nuevas medidas de ingreso, así como con respecto a la re-priorización interna de los gastos</w:t>
      </w:r>
      <w:r w:rsidRPr="00977020">
        <w:rPr>
          <w:rFonts w:asciiTheme="minorHAnsi" w:hAnsiTheme="minorHAnsi" w:cstheme="minorHAnsi"/>
          <w:color w:val="auto"/>
          <w:lang w:val="es-ES_tradnl"/>
        </w:rPr>
        <w:t>.</w:t>
      </w:r>
      <w:r w:rsidR="001A2A39" w:rsidRPr="00977020">
        <w:rPr>
          <w:rFonts w:asciiTheme="minorHAnsi" w:hAnsiTheme="minorHAnsi" w:cstheme="minorHAnsi"/>
          <w:color w:val="auto"/>
          <w:lang w:val="es-ES_tradnl"/>
        </w:rPr>
        <w:t xml:space="preserve"> Por un lado, la adopción de </w:t>
      </w:r>
      <w:r w:rsidR="001A2A39" w:rsidRPr="00977020">
        <w:rPr>
          <w:rFonts w:asciiTheme="minorHAnsi" w:hAnsiTheme="minorHAnsi" w:cstheme="minorHAnsi"/>
          <w:b/>
          <w:color w:val="auto"/>
          <w:lang w:val="es-ES_tradnl"/>
        </w:rPr>
        <w:t>nuevas medidas tributarias</w:t>
      </w:r>
      <w:r w:rsidR="001A2A39" w:rsidRPr="00977020">
        <w:rPr>
          <w:rFonts w:asciiTheme="minorHAnsi" w:hAnsiTheme="minorHAnsi" w:cstheme="minorHAnsi"/>
          <w:color w:val="auto"/>
          <w:lang w:val="es-ES_tradnl"/>
        </w:rPr>
        <w:t xml:space="preserve"> que supongan un incremento de los ingresos, aparte de poder facilitar la implementación de estrategias de reducción del déficit y de deuda, permitirán </w:t>
      </w:r>
      <w:r w:rsidR="001A2A39" w:rsidRPr="00977020">
        <w:rPr>
          <w:rFonts w:asciiTheme="minorHAnsi" w:hAnsiTheme="minorHAnsi" w:cstheme="minorHAnsi"/>
          <w:b/>
          <w:color w:val="auto"/>
          <w:lang w:val="es-ES_tradnl"/>
        </w:rPr>
        <w:t>incrementar el espacio presupuestario</w:t>
      </w:r>
      <w:r w:rsidR="001A2A39" w:rsidRPr="00977020">
        <w:rPr>
          <w:rFonts w:asciiTheme="minorHAnsi" w:hAnsiTheme="minorHAnsi" w:cstheme="minorHAnsi"/>
          <w:color w:val="auto"/>
          <w:lang w:val="es-ES_tradnl"/>
        </w:rPr>
        <w:t xml:space="preserve"> para poder financiar cambios en las políticas públicas (es decir, tanto expansiones de servicios actuales como nuevos servicios o proyectos). Este hecho incidirá tanto en el </w:t>
      </w:r>
      <w:r w:rsidR="001A2A39" w:rsidRPr="00977020">
        <w:rPr>
          <w:rFonts w:asciiTheme="minorHAnsi" w:hAnsiTheme="minorHAnsi" w:cstheme="minorHAnsi"/>
          <w:b/>
          <w:color w:val="auto"/>
          <w:lang w:val="es-ES_tradnl"/>
        </w:rPr>
        <w:t>marco presupuestario a medio plazo</w:t>
      </w:r>
      <w:r w:rsidR="001A2A39" w:rsidRPr="00977020">
        <w:rPr>
          <w:rFonts w:asciiTheme="minorHAnsi" w:hAnsiTheme="minorHAnsi" w:cstheme="minorHAnsi"/>
          <w:color w:val="auto"/>
          <w:lang w:val="es-ES_tradnl"/>
        </w:rPr>
        <w:t xml:space="preserve"> como en los </w:t>
      </w:r>
      <w:r w:rsidR="001A2A39" w:rsidRPr="00977020">
        <w:rPr>
          <w:rFonts w:asciiTheme="minorHAnsi" w:hAnsiTheme="minorHAnsi" w:cstheme="minorHAnsi"/>
          <w:b/>
          <w:color w:val="auto"/>
          <w:lang w:val="es-ES_tradnl"/>
        </w:rPr>
        <w:t>presupuestos anuales</w:t>
      </w:r>
      <w:r w:rsidR="001A2A39" w:rsidRPr="00977020">
        <w:rPr>
          <w:rFonts w:asciiTheme="minorHAnsi" w:hAnsiTheme="minorHAnsi" w:cstheme="minorHAnsi"/>
          <w:color w:val="auto"/>
          <w:lang w:val="es-ES_tradnl"/>
        </w:rPr>
        <w:t xml:space="preserve"> que se contienen, permitiendo </w:t>
      </w:r>
      <w:r w:rsidR="001A2A39" w:rsidRPr="00977020">
        <w:rPr>
          <w:rFonts w:asciiTheme="minorHAnsi" w:hAnsiTheme="minorHAnsi" w:cstheme="minorHAnsi"/>
          <w:b/>
          <w:color w:val="auto"/>
          <w:lang w:val="es-ES_tradnl"/>
        </w:rPr>
        <w:t>incrementar el máximo de gasto alcanzable</w:t>
      </w:r>
      <w:r w:rsidR="001A2A39" w:rsidRPr="00977020">
        <w:rPr>
          <w:rFonts w:asciiTheme="minorHAnsi" w:hAnsiTheme="minorHAnsi" w:cstheme="minorHAnsi"/>
          <w:color w:val="auto"/>
          <w:lang w:val="es-ES_tradnl"/>
        </w:rPr>
        <w:t xml:space="preserve"> (límite o techo de gasto). </w:t>
      </w:r>
    </w:p>
    <w:p w14:paraId="18A26AD6" w14:textId="59CB932C" w:rsidR="0013560D" w:rsidRPr="00977020" w:rsidRDefault="001A2A39"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Asimismo, por el lado del gasto, la re-priorización de gastos también </w:t>
      </w:r>
      <w:r w:rsidRPr="00977020">
        <w:rPr>
          <w:rFonts w:asciiTheme="minorHAnsi" w:hAnsiTheme="minorHAnsi" w:cstheme="minorHAnsi"/>
          <w:b/>
          <w:color w:val="auto"/>
          <w:lang w:val="es-ES_tradnl"/>
        </w:rPr>
        <w:t>permitirá incrementar el espacio presupuestario</w:t>
      </w:r>
      <w:r w:rsidRPr="00977020">
        <w:rPr>
          <w:rFonts w:asciiTheme="minorHAnsi" w:hAnsiTheme="minorHAnsi" w:cstheme="minorHAnsi"/>
          <w:color w:val="auto"/>
          <w:lang w:val="es-ES_tradnl"/>
        </w:rPr>
        <w:t xml:space="preserve"> para meter </w:t>
      </w:r>
      <w:r w:rsidRPr="00977020">
        <w:rPr>
          <w:rFonts w:asciiTheme="minorHAnsi" w:hAnsiTheme="minorHAnsi" w:cstheme="minorHAnsi"/>
          <w:b/>
          <w:color w:val="auto"/>
          <w:lang w:val="es-ES_tradnl"/>
        </w:rPr>
        <w:t>cambios de políticas públicas</w:t>
      </w:r>
      <w:r w:rsidRPr="00977020">
        <w:rPr>
          <w:rFonts w:asciiTheme="minorHAnsi" w:hAnsiTheme="minorHAnsi" w:cstheme="minorHAnsi"/>
          <w:color w:val="auto"/>
          <w:lang w:val="es-ES_tradnl"/>
        </w:rPr>
        <w:t xml:space="preserve">, pero </w:t>
      </w:r>
      <w:r w:rsidRPr="00977020">
        <w:rPr>
          <w:rFonts w:asciiTheme="minorHAnsi" w:hAnsiTheme="minorHAnsi" w:cstheme="minorHAnsi"/>
          <w:b/>
          <w:color w:val="auto"/>
          <w:lang w:val="es-ES_tradnl"/>
        </w:rPr>
        <w:t>sin afectar al máximo global de gasto</w:t>
      </w:r>
      <w:r w:rsidRPr="00977020">
        <w:rPr>
          <w:rFonts w:asciiTheme="minorHAnsi" w:hAnsiTheme="minorHAnsi" w:cstheme="minorHAnsi"/>
          <w:color w:val="auto"/>
          <w:lang w:val="es-ES_tradnl"/>
        </w:rPr>
        <w:t xml:space="preserve">, </w:t>
      </w:r>
      <w:r w:rsidRPr="00977020">
        <w:rPr>
          <w:rFonts w:asciiTheme="minorHAnsi" w:hAnsiTheme="minorHAnsi" w:cstheme="minorHAnsi"/>
          <w:b/>
          <w:color w:val="auto"/>
          <w:lang w:val="es-ES_tradnl"/>
        </w:rPr>
        <w:t>pero sí la composición interna</w:t>
      </w:r>
      <w:r w:rsidRPr="00977020">
        <w:rPr>
          <w:rFonts w:asciiTheme="minorHAnsi" w:hAnsiTheme="minorHAnsi" w:cstheme="minorHAnsi"/>
          <w:color w:val="auto"/>
          <w:lang w:val="es-ES_tradnl"/>
        </w:rPr>
        <w:t xml:space="preserve"> de este, al suponer la re</w:t>
      </w:r>
      <w:r w:rsidRPr="00977020">
        <w:rPr>
          <w:rFonts w:asciiTheme="minorHAnsi" w:hAnsiTheme="minorHAnsi" w:cstheme="minorHAnsi"/>
          <w:b/>
          <w:color w:val="auto"/>
          <w:lang w:val="es-ES_tradnl"/>
        </w:rPr>
        <w:t xml:space="preserve">ducción de los límites de gasto de algunos departamentos a favor de incrementos en otros </w:t>
      </w:r>
      <w:r w:rsidRPr="00977020">
        <w:rPr>
          <w:rFonts w:asciiTheme="minorHAnsi" w:hAnsiTheme="minorHAnsi" w:cstheme="minorHAnsi"/>
          <w:color w:val="auto"/>
          <w:lang w:val="es-ES_tradnl"/>
        </w:rPr>
        <w:t xml:space="preserve">para </w:t>
      </w:r>
      <w:r w:rsidRPr="00977020">
        <w:rPr>
          <w:rFonts w:asciiTheme="minorHAnsi" w:hAnsiTheme="minorHAnsi" w:cstheme="minorHAnsi"/>
          <w:b/>
          <w:color w:val="auto"/>
          <w:lang w:val="es-ES_tradnl"/>
        </w:rPr>
        <w:t>financiar cambios en las políticas</w:t>
      </w:r>
      <w:r w:rsidRPr="00977020">
        <w:rPr>
          <w:rFonts w:asciiTheme="minorHAnsi" w:hAnsiTheme="minorHAnsi" w:cstheme="minorHAnsi"/>
          <w:color w:val="auto"/>
          <w:lang w:val="es-ES_tradnl"/>
        </w:rPr>
        <w:t xml:space="preserve"> para hacer frente el retos actuales y futuros.  </w:t>
      </w:r>
    </w:p>
    <w:p w14:paraId="30B5ABF5" w14:textId="77777777" w:rsidR="0013560D" w:rsidRPr="00977020" w:rsidRDefault="0013560D" w:rsidP="003067FE">
      <w:pPr>
        <w:shd w:val="clear" w:color="auto" w:fill="auto"/>
        <w:spacing w:before="120" w:afterLines="100" w:after="240" w:line="276" w:lineRule="auto"/>
        <w:rPr>
          <w:rFonts w:asciiTheme="minorHAnsi" w:hAnsiTheme="minorHAnsi" w:cstheme="minorHAnsi"/>
          <w:b/>
          <w:color w:val="auto"/>
          <w:lang w:val="es-ES_tradnl"/>
        </w:rPr>
      </w:pPr>
    </w:p>
    <w:p w14:paraId="51A1D88A" w14:textId="4A0F31C3" w:rsidR="0013560D"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b/>
          <w:noProof/>
          <w:color w:val="auto"/>
          <w:sz w:val="32"/>
          <w:szCs w:val="32"/>
        </w:rPr>
        <w:drawing>
          <wp:inline distT="0" distB="0" distL="0" distR="0" wp14:anchorId="43F4D125" wp14:editId="20D451AC">
            <wp:extent cx="5069775" cy="3240000"/>
            <wp:effectExtent l="19050" t="19050" r="17145" b="17780"/>
            <wp:docPr id="2" name="Imatge 2" descr="Proceso de elaboración del presupu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descr="Proceso de elaboración del presupues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9775" cy="3240000"/>
                    </a:xfrm>
                    <a:prstGeom prst="rect">
                      <a:avLst/>
                    </a:prstGeom>
                    <a:noFill/>
                    <a:ln>
                      <a:solidFill>
                        <a:schemeClr val="bg1">
                          <a:lumMod val="85000"/>
                        </a:schemeClr>
                      </a:solidFill>
                    </a:ln>
                  </pic:spPr>
                </pic:pic>
              </a:graphicData>
            </a:graphic>
          </wp:inline>
        </w:drawing>
      </w:r>
    </w:p>
    <w:p w14:paraId="3BDA7809" w14:textId="77777777" w:rsidR="00402FA0" w:rsidRPr="00977020" w:rsidRDefault="00402FA0" w:rsidP="003067FE">
      <w:pPr>
        <w:shd w:val="clear" w:color="auto" w:fill="auto"/>
        <w:spacing w:before="120" w:afterLines="100" w:after="240" w:line="276" w:lineRule="auto"/>
        <w:rPr>
          <w:rFonts w:asciiTheme="minorHAnsi" w:hAnsiTheme="minorHAnsi" w:cstheme="minorHAnsi"/>
          <w:b/>
          <w:color w:val="auto"/>
          <w:sz w:val="32"/>
          <w:lang w:val="es-ES_tradnl"/>
        </w:rPr>
      </w:pPr>
    </w:p>
    <w:p w14:paraId="3EA9B898" w14:textId="498CDBD6" w:rsidR="008E7297" w:rsidRPr="00977020" w:rsidRDefault="008E7297" w:rsidP="003067FE">
      <w:pPr>
        <w:shd w:val="clear" w:color="auto" w:fill="auto"/>
        <w:spacing w:before="120" w:afterLines="100" w:after="240" w:line="276" w:lineRule="auto"/>
        <w:rPr>
          <w:rFonts w:asciiTheme="minorHAnsi" w:hAnsiTheme="minorHAnsi" w:cstheme="minorHAnsi"/>
          <w:b/>
          <w:color w:val="auto"/>
          <w:sz w:val="32"/>
          <w:lang w:val="es-ES_tradnl"/>
        </w:rPr>
      </w:pPr>
      <w:r w:rsidRPr="00977020">
        <w:rPr>
          <w:rFonts w:asciiTheme="minorHAnsi" w:hAnsiTheme="minorHAnsi" w:cstheme="minorHAnsi"/>
          <w:b/>
          <w:color w:val="auto"/>
          <w:sz w:val="32"/>
          <w:lang w:val="es-ES_tradnl"/>
        </w:rPr>
        <w:t>Situación actual</w:t>
      </w:r>
    </w:p>
    <w:p w14:paraId="37FB443F" w14:textId="75B3C78F" w:rsidR="00D55F45" w:rsidRPr="00977020" w:rsidRDefault="008E7297"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De acu</w:t>
      </w:r>
      <w:r w:rsidR="00D55F45" w:rsidRPr="00977020">
        <w:rPr>
          <w:rFonts w:asciiTheme="minorHAnsi" w:hAnsiTheme="minorHAnsi" w:cstheme="minorHAnsi"/>
          <w:color w:val="auto"/>
          <w:lang w:val="es-ES_tradnl"/>
        </w:rPr>
        <w:t>erdo con el e</w:t>
      </w:r>
      <w:r w:rsidR="00D55F45" w:rsidRPr="00977020">
        <w:rPr>
          <w:rFonts w:asciiTheme="minorHAnsi" w:hAnsiTheme="minorHAnsi" w:cstheme="minorHAnsi"/>
          <w:b/>
          <w:color w:val="auto"/>
          <w:lang w:val="es-ES_tradnl"/>
        </w:rPr>
        <w:t>scenario presupuestario 2024-2027</w:t>
      </w:r>
      <w:r w:rsidRPr="00977020">
        <w:rPr>
          <w:rFonts w:asciiTheme="minorHAnsi" w:hAnsiTheme="minorHAnsi" w:cstheme="minorHAnsi"/>
          <w:color w:val="auto"/>
          <w:lang w:val="es-ES_tradnl"/>
        </w:rPr>
        <w:t xml:space="preserve">, </w:t>
      </w:r>
      <w:r w:rsidR="001B23B4" w:rsidRPr="00977020">
        <w:rPr>
          <w:rFonts w:asciiTheme="minorHAnsi" w:hAnsiTheme="minorHAnsi" w:cstheme="minorHAnsi"/>
          <w:color w:val="auto"/>
          <w:lang w:val="es-ES_tradnl"/>
        </w:rPr>
        <w:t>el cual se presentó</w:t>
      </w:r>
      <w:r w:rsidRPr="00977020">
        <w:rPr>
          <w:rFonts w:asciiTheme="minorHAnsi" w:hAnsiTheme="minorHAnsi" w:cstheme="minorHAnsi"/>
          <w:color w:val="auto"/>
          <w:lang w:val="es-ES_tradnl"/>
        </w:rPr>
        <w:t xml:space="preserve"> </w:t>
      </w:r>
      <w:r w:rsidR="001B23B4" w:rsidRPr="00977020">
        <w:rPr>
          <w:rFonts w:asciiTheme="minorHAnsi" w:hAnsiTheme="minorHAnsi" w:cstheme="minorHAnsi"/>
          <w:color w:val="auto"/>
          <w:lang w:val="es-ES_tradnl"/>
        </w:rPr>
        <w:t>con el proyecto de</w:t>
      </w:r>
      <w:r w:rsidR="00D55F45" w:rsidRPr="00977020">
        <w:rPr>
          <w:rFonts w:asciiTheme="minorHAnsi" w:hAnsiTheme="minorHAnsi" w:cstheme="minorHAnsi"/>
          <w:color w:val="auto"/>
          <w:lang w:val="es-ES_tradnl"/>
        </w:rPr>
        <w:t xml:space="preserve"> presupuestos para el 2024</w:t>
      </w:r>
      <w:r w:rsidRPr="00977020">
        <w:rPr>
          <w:rFonts w:asciiTheme="minorHAnsi" w:hAnsiTheme="minorHAnsi" w:cstheme="minorHAnsi"/>
          <w:color w:val="auto"/>
          <w:lang w:val="es-ES_tradnl"/>
        </w:rPr>
        <w:t xml:space="preserve">, el </w:t>
      </w:r>
      <w:r w:rsidRPr="00977020">
        <w:rPr>
          <w:rFonts w:asciiTheme="minorHAnsi" w:hAnsiTheme="minorHAnsi" w:cstheme="minorHAnsi"/>
          <w:b/>
          <w:color w:val="auto"/>
          <w:lang w:val="es-ES_tradnl"/>
        </w:rPr>
        <w:t>crecimiento esperado de los ingresos</w:t>
      </w:r>
      <w:r w:rsidRPr="00977020">
        <w:rPr>
          <w:rFonts w:asciiTheme="minorHAnsi" w:hAnsiTheme="minorHAnsi" w:cstheme="minorHAnsi"/>
          <w:color w:val="auto"/>
          <w:lang w:val="es-ES_tradnl"/>
        </w:rPr>
        <w:t xml:space="preserve"> no financieros</w:t>
      </w:r>
      <w:r w:rsidR="00D55F45" w:rsidRPr="00977020">
        <w:rPr>
          <w:rFonts w:asciiTheme="minorHAnsi" w:hAnsiTheme="minorHAnsi" w:cstheme="minorHAnsi"/>
          <w:color w:val="auto"/>
          <w:lang w:val="es-ES_tradnl"/>
        </w:rPr>
        <w:t xml:space="preserve"> para los próximos años (2025-2027</w:t>
      </w:r>
      <w:r w:rsidRPr="00977020">
        <w:rPr>
          <w:rFonts w:asciiTheme="minorHAnsi" w:hAnsiTheme="minorHAnsi" w:cstheme="minorHAnsi"/>
          <w:color w:val="auto"/>
          <w:lang w:val="es-ES_tradnl"/>
        </w:rPr>
        <w:t>) se situa</w:t>
      </w:r>
      <w:r w:rsidR="001B23B4" w:rsidRPr="00977020">
        <w:rPr>
          <w:rFonts w:asciiTheme="minorHAnsi" w:hAnsiTheme="minorHAnsi" w:cstheme="minorHAnsi"/>
          <w:color w:val="auto"/>
          <w:lang w:val="es-ES_tradnl"/>
        </w:rPr>
        <w:t>ba</w:t>
      </w:r>
      <w:r w:rsidR="00D55F45" w:rsidRPr="00977020">
        <w:rPr>
          <w:rFonts w:asciiTheme="minorHAnsi" w:hAnsiTheme="minorHAnsi" w:cstheme="minorHAnsi"/>
          <w:color w:val="auto"/>
          <w:lang w:val="es-ES_tradnl"/>
        </w:rPr>
        <w:t xml:space="preserve">, </w:t>
      </w:r>
      <w:r w:rsidR="00D55F45" w:rsidRPr="00977020">
        <w:rPr>
          <w:rFonts w:asciiTheme="minorHAnsi" w:hAnsiTheme="minorHAnsi" w:cstheme="minorHAnsi"/>
          <w:b/>
          <w:color w:val="auto"/>
          <w:lang w:val="es-ES_tradnl"/>
        </w:rPr>
        <w:t>en términos medios</w:t>
      </w:r>
      <w:r w:rsidR="000E00F0" w:rsidRPr="00977020">
        <w:rPr>
          <w:rFonts w:asciiTheme="minorHAnsi" w:hAnsiTheme="minorHAnsi" w:cstheme="minorHAnsi"/>
          <w:b/>
          <w:color w:val="auto"/>
          <w:lang w:val="es-ES_tradnl"/>
        </w:rPr>
        <w:t xml:space="preserve"> acumulados</w:t>
      </w:r>
      <w:r w:rsidR="00D55F45" w:rsidRPr="00977020">
        <w:rPr>
          <w:rFonts w:asciiTheme="minorHAnsi" w:hAnsiTheme="minorHAnsi" w:cstheme="minorHAnsi"/>
          <w:b/>
          <w:color w:val="auto"/>
          <w:lang w:val="es-ES_tradnl"/>
        </w:rPr>
        <w:t>, en una tasa del 1,7</w:t>
      </w:r>
      <w:r w:rsidR="006F445D" w:rsidRPr="00977020">
        <w:rPr>
          <w:rFonts w:asciiTheme="minorHAnsi" w:hAnsiTheme="minorHAnsi" w:cstheme="minorHAnsi"/>
          <w:b/>
          <w:color w:val="auto"/>
          <w:lang w:val="es-ES_tradnl"/>
        </w:rPr>
        <w:t>9</w:t>
      </w:r>
      <w:r w:rsidR="00D55F45" w:rsidRPr="00977020">
        <w:rPr>
          <w:rFonts w:asciiTheme="minorHAnsi" w:hAnsiTheme="minorHAnsi" w:cstheme="minorHAnsi"/>
          <w:b/>
          <w:color w:val="auto"/>
          <w:lang w:val="es-ES_tradnl"/>
        </w:rPr>
        <w:t>%.</w:t>
      </w:r>
      <w:r w:rsidR="00D55F45" w:rsidRPr="00977020">
        <w:rPr>
          <w:rFonts w:asciiTheme="minorHAnsi" w:hAnsiTheme="minorHAnsi" w:cstheme="minorHAnsi"/>
          <w:color w:val="auto"/>
          <w:lang w:val="es-ES_tradnl"/>
        </w:rPr>
        <w:t xml:space="preserve"> </w:t>
      </w:r>
      <w:r w:rsidR="00ED1B69" w:rsidRPr="00977020">
        <w:rPr>
          <w:rFonts w:asciiTheme="minorHAnsi" w:hAnsiTheme="minorHAnsi" w:cstheme="minorHAnsi"/>
          <w:color w:val="auto"/>
          <w:lang w:val="es-ES_tradnl"/>
        </w:rPr>
        <w:t>Dentro de</w:t>
      </w:r>
      <w:r w:rsidR="00D55F45" w:rsidRPr="00977020">
        <w:rPr>
          <w:rFonts w:asciiTheme="minorHAnsi" w:hAnsiTheme="minorHAnsi" w:cstheme="minorHAnsi"/>
          <w:color w:val="auto"/>
          <w:lang w:val="es-ES_tradnl"/>
        </w:rPr>
        <w:t xml:space="preserve"> este periodo se prevé una reducción de los ingresos en el 2025 (-0,2%) y crecimientos positivos en el 2026 y 2027 (2,2% y 3,4% respectivamente).</w:t>
      </w:r>
    </w:p>
    <w:p w14:paraId="5C185EC6" w14:textId="6B7DC501" w:rsidR="008E7297" w:rsidRPr="00977020" w:rsidRDefault="008E7297"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Por otra parte</w:t>
      </w:r>
      <w:r w:rsidR="009E694E" w:rsidRPr="00977020">
        <w:rPr>
          <w:rFonts w:asciiTheme="minorHAnsi" w:hAnsiTheme="minorHAnsi" w:cstheme="minorHAnsi"/>
          <w:color w:val="auto"/>
          <w:lang w:val="es-ES_tradnl"/>
        </w:rPr>
        <w:t>,</w:t>
      </w:r>
      <w:r w:rsidRPr="00977020">
        <w:rPr>
          <w:rFonts w:asciiTheme="minorHAnsi" w:hAnsiTheme="minorHAnsi" w:cstheme="minorHAnsi"/>
          <w:color w:val="auto"/>
          <w:lang w:val="es-ES_tradnl"/>
        </w:rPr>
        <w:t xml:space="preserve"> </w:t>
      </w:r>
      <w:r w:rsidRPr="00977020">
        <w:rPr>
          <w:rFonts w:asciiTheme="minorHAnsi" w:hAnsiTheme="minorHAnsi" w:cstheme="minorHAnsi"/>
          <w:b/>
          <w:color w:val="auto"/>
          <w:lang w:val="es-ES_tradnl"/>
        </w:rPr>
        <w:t>la Generalitat de Catalunya</w:t>
      </w:r>
      <w:r w:rsidRPr="00977020">
        <w:rPr>
          <w:rFonts w:asciiTheme="minorHAnsi" w:hAnsiTheme="minorHAnsi" w:cstheme="minorHAnsi"/>
          <w:color w:val="auto"/>
          <w:lang w:val="es-ES_tradnl"/>
        </w:rPr>
        <w:t xml:space="preserve">, dentro de sus </w:t>
      </w:r>
      <w:r w:rsidRPr="00977020">
        <w:rPr>
          <w:rFonts w:asciiTheme="minorHAnsi" w:hAnsiTheme="minorHAnsi" w:cstheme="minorHAnsi"/>
          <w:b/>
          <w:color w:val="auto"/>
          <w:lang w:val="es-ES_tradnl"/>
        </w:rPr>
        <w:t>principales fuentes de ingresos</w:t>
      </w:r>
      <w:r w:rsidRPr="00977020">
        <w:rPr>
          <w:rFonts w:asciiTheme="minorHAnsi" w:hAnsiTheme="minorHAnsi" w:cstheme="minorHAnsi"/>
          <w:color w:val="auto"/>
          <w:lang w:val="es-ES_tradnl"/>
        </w:rPr>
        <w:t xml:space="preserve">, solamente tiene </w:t>
      </w:r>
      <w:r w:rsidRPr="00977020">
        <w:rPr>
          <w:rFonts w:asciiTheme="minorHAnsi" w:hAnsiTheme="minorHAnsi" w:cstheme="minorHAnsi"/>
          <w:b/>
          <w:color w:val="auto"/>
          <w:lang w:val="es-ES_tradnl"/>
        </w:rPr>
        <w:t>competencias en sus propios tributos</w:t>
      </w:r>
      <w:r w:rsidRPr="00977020">
        <w:rPr>
          <w:rFonts w:asciiTheme="minorHAnsi" w:hAnsiTheme="minorHAnsi" w:cstheme="minorHAnsi"/>
          <w:color w:val="auto"/>
          <w:lang w:val="es-ES_tradnl"/>
        </w:rPr>
        <w:t xml:space="preserve"> (impuestos ambientales, bebidas azucaradas, estancias turísticas...), </w:t>
      </w:r>
      <w:r w:rsidRPr="00977020">
        <w:rPr>
          <w:rFonts w:asciiTheme="minorHAnsi" w:hAnsiTheme="minorHAnsi" w:cstheme="minorHAnsi"/>
          <w:b/>
          <w:color w:val="auto"/>
          <w:lang w:val="es-ES_tradnl"/>
        </w:rPr>
        <w:t>en algunos aspectos de tributos cedidos</w:t>
      </w:r>
      <w:r w:rsidRPr="00977020">
        <w:rPr>
          <w:rFonts w:asciiTheme="minorHAnsi" w:hAnsiTheme="minorHAnsi" w:cstheme="minorHAnsi"/>
          <w:color w:val="auto"/>
          <w:lang w:val="es-ES_tradnl"/>
        </w:rPr>
        <w:t xml:space="preserve"> (tramo autonómico del IRPF, impuesto de transmisiones patrimoniales y actos jurídicos documentados (ITPAJD), impuesto sobre sucesiones y donaciones, impuesto sobre al patrimonio...), pero </w:t>
      </w:r>
      <w:r w:rsidRPr="00977020">
        <w:rPr>
          <w:rFonts w:asciiTheme="minorHAnsi" w:hAnsiTheme="minorHAnsi" w:cstheme="minorHAnsi"/>
          <w:b/>
          <w:color w:val="auto"/>
          <w:lang w:val="es-ES_tradnl"/>
        </w:rPr>
        <w:t>no tiene competencias en aquellos impuestos dónde solamente participa</w:t>
      </w:r>
      <w:r w:rsidRPr="00977020">
        <w:rPr>
          <w:rFonts w:asciiTheme="minorHAnsi" w:hAnsiTheme="minorHAnsi" w:cstheme="minorHAnsi"/>
          <w:color w:val="auto"/>
          <w:lang w:val="es-ES_tradnl"/>
        </w:rPr>
        <w:t xml:space="preserve"> (IVA, impuestos especiales sobre el tabaco, alcohol, hidrocarburos...). </w:t>
      </w:r>
      <w:proofErr w:type="gramStart"/>
      <w:r w:rsidRPr="00977020">
        <w:rPr>
          <w:rFonts w:asciiTheme="minorHAnsi" w:hAnsiTheme="minorHAnsi" w:cstheme="minorHAnsi"/>
          <w:color w:val="auto"/>
          <w:lang w:val="es-ES_tradnl"/>
        </w:rPr>
        <w:t>Asimismo</w:t>
      </w:r>
      <w:proofErr w:type="gramEnd"/>
      <w:r w:rsidRPr="00977020">
        <w:rPr>
          <w:rFonts w:asciiTheme="minorHAnsi" w:hAnsiTheme="minorHAnsi" w:cstheme="minorHAnsi"/>
          <w:color w:val="auto"/>
          <w:lang w:val="es-ES_tradnl"/>
        </w:rPr>
        <w:t xml:space="preserve"> </w:t>
      </w:r>
      <w:r w:rsidRPr="00977020">
        <w:rPr>
          <w:rFonts w:asciiTheme="minorHAnsi" w:hAnsiTheme="minorHAnsi" w:cstheme="minorHAnsi"/>
          <w:b/>
          <w:color w:val="auto"/>
          <w:lang w:val="es-ES_tradnl"/>
        </w:rPr>
        <w:t>tampoco</w:t>
      </w:r>
      <w:r w:rsidRPr="00977020">
        <w:rPr>
          <w:rFonts w:asciiTheme="minorHAnsi" w:hAnsiTheme="minorHAnsi" w:cstheme="minorHAnsi"/>
          <w:color w:val="auto"/>
          <w:lang w:val="es-ES_tradnl"/>
        </w:rPr>
        <w:t xml:space="preserve"> tiene potestad </w:t>
      </w:r>
      <w:r w:rsidRPr="00977020">
        <w:rPr>
          <w:rFonts w:asciiTheme="minorHAnsi" w:hAnsiTheme="minorHAnsi" w:cstheme="minorHAnsi"/>
          <w:b/>
          <w:color w:val="auto"/>
          <w:lang w:val="es-ES_tradnl"/>
        </w:rPr>
        <w:t>en las transferencias que recibe</w:t>
      </w:r>
      <w:r w:rsidRPr="00977020">
        <w:rPr>
          <w:rFonts w:asciiTheme="minorHAnsi" w:hAnsiTheme="minorHAnsi" w:cstheme="minorHAnsi"/>
          <w:color w:val="auto"/>
          <w:lang w:val="es-ES_tradnl"/>
        </w:rPr>
        <w:t xml:space="preserve"> de otras administraciones e instituciones. </w:t>
      </w:r>
    </w:p>
    <w:p w14:paraId="31F63A56" w14:textId="79CBB4D1" w:rsidR="001B23B4" w:rsidRPr="00977020" w:rsidRDefault="001B23B4" w:rsidP="003067FE">
      <w:pPr>
        <w:shd w:val="clear" w:color="auto" w:fill="auto"/>
        <w:spacing w:before="120" w:after="20" w:line="276" w:lineRule="auto"/>
        <w:rPr>
          <w:rFonts w:asciiTheme="minorHAnsi" w:hAnsiTheme="minorHAnsi" w:cstheme="minorHAnsi"/>
          <w:color w:val="auto"/>
          <w:lang w:val="es-ES_tradnl"/>
        </w:rPr>
      </w:pPr>
      <w:r w:rsidRPr="00977020">
        <w:rPr>
          <w:rFonts w:asciiTheme="minorHAnsi" w:hAnsiTheme="minorHAnsi" w:cstheme="minorHAnsi"/>
          <w:bCs/>
          <w:color w:val="auto"/>
          <w:lang w:val="es-ES_tradnl"/>
        </w:rPr>
        <w:t xml:space="preserve">De esta manera, de los 42.316,4 millones de euros de ingresos no financieros del sector público de la Generalitat previstos en los presupuestos para el 2023 (los cuales han sido prorrogados en el ejercicio 2024), los </w:t>
      </w:r>
      <w:r w:rsidRPr="00977020">
        <w:rPr>
          <w:rFonts w:asciiTheme="minorHAnsi" w:hAnsiTheme="minorHAnsi" w:cstheme="minorHAnsi"/>
          <w:b/>
          <w:bCs/>
          <w:color w:val="auto"/>
          <w:lang w:val="es-ES_tradnl"/>
        </w:rPr>
        <w:t>ingresos p</w:t>
      </w:r>
      <w:r w:rsidR="00AE2C4D">
        <w:rPr>
          <w:rFonts w:asciiTheme="minorHAnsi" w:hAnsiTheme="minorHAnsi" w:cstheme="minorHAnsi"/>
          <w:b/>
          <w:bCs/>
          <w:color w:val="auto"/>
          <w:lang w:val="es-ES_tradnl"/>
        </w:rPr>
        <w:t xml:space="preserve">ara </w:t>
      </w:r>
      <w:r w:rsidRPr="00977020">
        <w:rPr>
          <w:rFonts w:asciiTheme="minorHAnsi" w:hAnsiTheme="minorHAnsi" w:cstheme="minorHAnsi"/>
          <w:b/>
          <w:bCs/>
          <w:color w:val="auto"/>
          <w:lang w:val="es-ES_tradnl"/>
        </w:rPr>
        <w:t xml:space="preserve">los </w:t>
      </w:r>
      <w:r w:rsidR="00AE2C4D">
        <w:rPr>
          <w:rFonts w:asciiTheme="minorHAnsi" w:hAnsiTheme="minorHAnsi" w:cstheme="minorHAnsi"/>
          <w:b/>
          <w:bCs/>
          <w:color w:val="auto"/>
          <w:lang w:val="es-ES_tradnl"/>
        </w:rPr>
        <w:t>que</w:t>
      </w:r>
      <w:r w:rsidRPr="00977020">
        <w:rPr>
          <w:rFonts w:asciiTheme="minorHAnsi" w:hAnsiTheme="minorHAnsi" w:cstheme="minorHAnsi"/>
          <w:b/>
          <w:bCs/>
          <w:color w:val="auto"/>
          <w:lang w:val="es-ES_tradnl"/>
        </w:rPr>
        <w:t xml:space="preserve"> la Generalitat cuenta con capacidad de modificación suben a 22.319,3 millones de euros</w:t>
      </w:r>
      <w:r w:rsidRPr="00977020">
        <w:rPr>
          <w:rFonts w:asciiTheme="minorHAnsi" w:hAnsiTheme="minorHAnsi" w:cstheme="minorHAnsi"/>
          <w:bCs/>
          <w:color w:val="auto"/>
          <w:lang w:val="es-ES_tradnl"/>
        </w:rPr>
        <w:t xml:space="preserve"> (el 52,7% del total). La </w:t>
      </w:r>
      <w:r w:rsidRPr="00977020">
        <w:rPr>
          <w:rFonts w:asciiTheme="minorHAnsi" w:hAnsiTheme="minorHAnsi" w:cstheme="minorHAnsi"/>
          <w:b/>
          <w:bCs/>
          <w:color w:val="auto"/>
          <w:lang w:val="es-ES_tradnl"/>
        </w:rPr>
        <w:t>Generalitat no tiene capacidad para modificar</w:t>
      </w:r>
      <w:r w:rsidRPr="00977020">
        <w:rPr>
          <w:rFonts w:asciiTheme="minorHAnsi" w:hAnsiTheme="minorHAnsi" w:cstheme="minorHAnsi"/>
          <w:bCs/>
          <w:color w:val="auto"/>
          <w:lang w:val="es-ES_tradnl"/>
        </w:rPr>
        <w:t xml:space="preserve"> los impuestos participados sin capacidad normativa, ni las transferencias corrientes y de capital, que </w:t>
      </w:r>
      <w:r w:rsidRPr="00977020">
        <w:rPr>
          <w:rFonts w:asciiTheme="minorHAnsi" w:hAnsiTheme="minorHAnsi" w:cstheme="minorHAnsi"/>
          <w:b/>
          <w:bCs/>
          <w:color w:val="auto"/>
          <w:lang w:val="es-ES_tradnl"/>
        </w:rPr>
        <w:t>suponen 19.997,2 millones de euros</w:t>
      </w:r>
      <w:r w:rsidRPr="00977020">
        <w:rPr>
          <w:rFonts w:asciiTheme="minorHAnsi" w:hAnsiTheme="minorHAnsi" w:cstheme="minorHAnsi"/>
          <w:bCs/>
          <w:color w:val="auto"/>
          <w:lang w:val="es-ES_tradnl"/>
        </w:rPr>
        <w:t xml:space="preserve"> (el 47,3% del total). </w:t>
      </w:r>
    </w:p>
    <w:p w14:paraId="4E28CAE2" w14:textId="674BF1D1" w:rsidR="001B23B4" w:rsidRPr="00977020" w:rsidRDefault="001B23B4" w:rsidP="003067FE">
      <w:pPr>
        <w:spacing w:before="120" w:after="20" w:line="276" w:lineRule="auto"/>
        <w:rPr>
          <w:rFonts w:asciiTheme="minorHAnsi" w:hAnsiTheme="minorHAnsi" w:cstheme="minorHAnsi"/>
          <w:bCs/>
          <w:color w:val="auto"/>
          <w:lang w:val="es-ES_tradnl"/>
        </w:rPr>
      </w:pPr>
      <w:r w:rsidRPr="00977020">
        <w:rPr>
          <w:rFonts w:asciiTheme="minorHAnsi" w:hAnsiTheme="minorHAnsi" w:cstheme="minorHAnsi"/>
          <w:bCs/>
          <w:color w:val="auto"/>
          <w:lang w:val="es-ES_tradnl"/>
        </w:rPr>
        <w:t xml:space="preserve">Por el lado del gasto, el presupuesto de la Generalitat de Catalunya presenta un </w:t>
      </w:r>
      <w:r w:rsidRPr="00977020">
        <w:rPr>
          <w:rFonts w:asciiTheme="minorHAnsi" w:hAnsiTheme="minorHAnsi" w:cstheme="minorHAnsi"/>
          <w:b/>
          <w:bCs/>
          <w:color w:val="auto"/>
          <w:lang w:val="es-ES_tradnl"/>
        </w:rPr>
        <w:t>importante grado de inflexibilidad</w:t>
      </w:r>
      <w:r w:rsidRPr="00977020">
        <w:rPr>
          <w:rFonts w:asciiTheme="minorHAnsi" w:hAnsiTheme="minorHAnsi" w:cstheme="minorHAnsi"/>
          <w:bCs/>
          <w:color w:val="auto"/>
          <w:lang w:val="es-ES_tradnl"/>
        </w:rPr>
        <w:t xml:space="preserve"> o de </w:t>
      </w:r>
      <w:r w:rsidRPr="00977020">
        <w:rPr>
          <w:rFonts w:asciiTheme="minorHAnsi" w:hAnsiTheme="minorHAnsi" w:cstheme="minorHAnsi"/>
          <w:b/>
          <w:bCs/>
          <w:color w:val="auto"/>
          <w:lang w:val="es-ES_tradnl"/>
        </w:rPr>
        <w:t>pocos márgenes para su ajuste o reasignación</w:t>
      </w:r>
      <w:r w:rsidRPr="00977020">
        <w:rPr>
          <w:rFonts w:asciiTheme="minorHAnsi" w:hAnsiTheme="minorHAnsi" w:cstheme="minorHAnsi"/>
          <w:bCs/>
          <w:color w:val="auto"/>
          <w:lang w:val="es-ES_tradnl"/>
        </w:rPr>
        <w:t>. De los presupuestos para el 2023</w:t>
      </w:r>
      <w:r w:rsidR="00D964DF" w:rsidRPr="00977020">
        <w:rPr>
          <w:rFonts w:asciiTheme="minorHAnsi" w:hAnsiTheme="minorHAnsi" w:cstheme="minorHAnsi"/>
          <w:bCs/>
          <w:color w:val="auto"/>
          <w:lang w:val="es-ES_tradnl"/>
        </w:rPr>
        <w:t xml:space="preserve"> (prorrogados en el 2024)</w:t>
      </w:r>
      <w:r w:rsidRPr="00977020">
        <w:rPr>
          <w:rFonts w:asciiTheme="minorHAnsi" w:hAnsiTheme="minorHAnsi" w:cstheme="minorHAnsi"/>
          <w:bCs/>
          <w:color w:val="auto"/>
          <w:lang w:val="es-ES_tradnl"/>
        </w:rPr>
        <w:t xml:space="preserve">, si se agrupan los gastos en </w:t>
      </w:r>
      <w:r w:rsidRPr="00977020">
        <w:rPr>
          <w:rFonts w:asciiTheme="minorHAnsi" w:hAnsiTheme="minorHAnsi" w:cstheme="minorHAnsi"/>
          <w:b/>
          <w:bCs/>
          <w:color w:val="auto"/>
          <w:lang w:val="es-ES_tradnl"/>
        </w:rPr>
        <w:t>retribuciones de los empleados</w:t>
      </w:r>
      <w:r w:rsidRPr="00977020">
        <w:rPr>
          <w:rFonts w:asciiTheme="minorHAnsi" w:hAnsiTheme="minorHAnsi" w:cstheme="minorHAnsi"/>
          <w:bCs/>
          <w:color w:val="auto"/>
          <w:lang w:val="es-ES_tradnl"/>
        </w:rPr>
        <w:t xml:space="preserve">, los </w:t>
      </w:r>
      <w:r w:rsidRPr="00977020">
        <w:rPr>
          <w:rFonts w:asciiTheme="minorHAnsi" w:hAnsiTheme="minorHAnsi" w:cstheme="minorHAnsi"/>
          <w:b/>
          <w:bCs/>
          <w:color w:val="auto"/>
          <w:lang w:val="es-ES_tradnl"/>
        </w:rPr>
        <w:t>intereses</w:t>
      </w:r>
      <w:r w:rsidRPr="00977020">
        <w:rPr>
          <w:rFonts w:asciiTheme="minorHAnsi" w:hAnsiTheme="minorHAnsi" w:cstheme="minorHAnsi"/>
          <w:bCs/>
          <w:color w:val="auto"/>
          <w:lang w:val="es-ES_tradnl"/>
        </w:rPr>
        <w:t xml:space="preserve"> de la deuda, el </w:t>
      </w:r>
      <w:r w:rsidRPr="00977020">
        <w:rPr>
          <w:rFonts w:asciiTheme="minorHAnsi" w:hAnsiTheme="minorHAnsi" w:cstheme="minorHAnsi"/>
          <w:b/>
          <w:bCs/>
          <w:color w:val="auto"/>
          <w:lang w:val="es-ES_tradnl"/>
        </w:rPr>
        <w:t>fondo de contingencia</w:t>
      </w:r>
      <w:r w:rsidRPr="00977020">
        <w:rPr>
          <w:rFonts w:asciiTheme="minorHAnsi" w:hAnsiTheme="minorHAnsi" w:cstheme="minorHAnsi"/>
          <w:bCs/>
          <w:color w:val="auto"/>
          <w:lang w:val="es-ES_tradnl"/>
        </w:rPr>
        <w:t xml:space="preserve"> y los </w:t>
      </w:r>
      <w:r w:rsidRPr="00977020">
        <w:rPr>
          <w:rFonts w:asciiTheme="minorHAnsi" w:hAnsiTheme="minorHAnsi" w:cstheme="minorHAnsi"/>
          <w:b/>
          <w:bCs/>
          <w:color w:val="auto"/>
          <w:lang w:val="es-ES_tradnl"/>
        </w:rPr>
        <w:t>gastos financiados con ingresos finalistas</w:t>
      </w:r>
      <w:r w:rsidRPr="00977020">
        <w:rPr>
          <w:rFonts w:asciiTheme="minorHAnsi" w:hAnsiTheme="minorHAnsi" w:cstheme="minorHAnsi"/>
          <w:bCs/>
          <w:color w:val="auto"/>
          <w:lang w:val="es-ES_tradnl"/>
        </w:rPr>
        <w:t xml:space="preserve"> procedentes de otras administraciones o instituciones, eso ya suponen   </w:t>
      </w:r>
      <w:r w:rsidRPr="00977020">
        <w:rPr>
          <w:rFonts w:asciiTheme="minorHAnsi" w:hAnsiTheme="minorHAnsi" w:cstheme="minorHAnsi"/>
          <w:b/>
          <w:bCs/>
          <w:color w:val="auto"/>
          <w:lang w:val="es-ES_tradnl"/>
        </w:rPr>
        <w:t>24.380 millones de euros</w:t>
      </w:r>
      <w:r w:rsidRPr="00977020">
        <w:rPr>
          <w:rFonts w:asciiTheme="minorHAnsi" w:hAnsiTheme="minorHAnsi" w:cstheme="minorHAnsi"/>
          <w:bCs/>
          <w:color w:val="auto"/>
          <w:lang w:val="es-ES_tradnl"/>
        </w:rPr>
        <w:t xml:space="preserve">, es decir, el </w:t>
      </w:r>
      <w:r w:rsidRPr="00977020">
        <w:rPr>
          <w:rFonts w:asciiTheme="minorHAnsi" w:hAnsiTheme="minorHAnsi" w:cstheme="minorHAnsi"/>
          <w:b/>
          <w:bCs/>
          <w:color w:val="auto"/>
          <w:lang w:val="es-ES_tradnl"/>
        </w:rPr>
        <w:t>54% del total del gasto</w:t>
      </w:r>
      <w:r w:rsidRPr="00977020">
        <w:rPr>
          <w:rFonts w:asciiTheme="minorHAnsi" w:hAnsiTheme="minorHAnsi" w:cstheme="minorHAnsi"/>
          <w:bCs/>
          <w:color w:val="auto"/>
          <w:lang w:val="es-ES_tradnl"/>
        </w:rPr>
        <w:t xml:space="preserve">. A este importe </w:t>
      </w:r>
      <w:r w:rsidRPr="00977020">
        <w:rPr>
          <w:rFonts w:asciiTheme="minorHAnsi" w:hAnsiTheme="minorHAnsi" w:cstheme="minorHAnsi"/>
          <w:b/>
          <w:bCs/>
          <w:color w:val="auto"/>
          <w:lang w:val="es-ES_tradnl"/>
        </w:rPr>
        <w:t>habría que añadir</w:t>
      </w:r>
      <w:r w:rsidRPr="00977020">
        <w:rPr>
          <w:rFonts w:asciiTheme="minorHAnsi" w:hAnsiTheme="minorHAnsi" w:cstheme="minorHAnsi"/>
          <w:bCs/>
          <w:color w:val="auto"/>
          <w:lang w:val="es-ES_tradnl"/>
        </w:rPr>
        <w:t xml:space="preserve"> aquellos gastos </w:t>
      </w:r>
      <w:r w:rsidRPr="00977020">
        <w:rPr>
          <w:rFonts w:asciiTheme="minorHAnsi" w:hAnsiTheme="minorHAnsi" w:cstheme="minorHAnsi"/>
          <w:b/>
          <w:bCs/>
          <w:color w:val="auto"/>
          <w:lang w:val="es-ES_tradnl"/>
        </w:rPr>
        <w:t>comprometidos contractualmente o vía convenio</w:t>
      </w:r>
      <w:r w:rsidRPr="00977020">
        <w:rPr>
          <w:rFonts w:asciiTheme="minorHAnsi" w:hAnsiTheme="minorHAnsi" w:cstheme="minorHAnsi"/>
          <w:bCs/>
          <w:color w:val="auto"/>
          <w:lang w:val="es-ES_tradnl"/>
        </w:rPr>
        <w:t xml:space="preserve">, así como aquellos diferentes </w:t>
      </w:r>
      <w:r w:rsidRPr="00977020">
        <w:rPr>
          <w:rFonts w:asciiTheme="minorHAnsi" w:hAnsiTheme="minorHAnsi" w:cstheme="minorHAnsi"/>
          <w:b/>
          <w:bCs/>
          <w:color w:val="auto"/>
          <w:lang w:val="es-ES_tradnl"/>
        </w:rPr>
        <w:t>gastos inflexibles o de muy difícil ajuste</w:t>
      </w:r>
      <w:r w:rsidRPr="00977020">
        <w:rPr>
          <w:rFonts w:asciiTheme="minorHAnsi" w:hAnsiTheme="minorHAnsi" w:cstheme="minorHAnsi"/>
          <w:bCs/>
          <w:color w:val="auto"/>
          <w:lang w:val="es-ES_tradnl"/>
        </w:rPr>
        <w:t>, como la asociada al gasto farmacéutico en salud, los conciertos sanitarios y educativos, la financiación de las universidades públicas, la financiación del sistema de transporte público o la renta garantizada de ciudadanía.</w:t>
      </w:r>
    </w:p>
    <w:p w14:paraId="56A4FFA0" w14:textId="76DFB533" w:rsidR="008E7297" w:rsidRPr="00977020" w:rsidRDefault="00A37C78"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Por </w:t>
      </w:r>
      <w:r w:rsidR="008E7297" w:rsidRPr="00977020">
        <w:rPr>
          <w:rFonts w:asciiTheme="minorHAnsi" w:hAnsiTheme="minorHAnsi" w:cstheme="minorHAnsi"/>
          <w:color w:val="auto"/>
          <w:lang w:val="es-ES_tradnl"/>
        </w:rPr>
        <w:t>otro lado,</w:t>
      </w:r>
      <w:r w:rsidRPr="00977020">
        <w:rPr>
          <w:rFonts w:asciiTheme="minorHAnsi" w:hAnsiTheme="minorHAnsi" w:cstheme="minorHAnsi"/>
          <w:color w:val="auto"/>
          <w:lang w:val="es-ES_tradnl"/>
        </w:rPr>
        <w:t xml:space="preserve"> como</w:t>
      </w:r>
      <w:r w:rsidR="008E7297" w:rsidRPr="00977020">
        <w:rPr>
          <w:rFonts w:asciiTheme="minorHAnsi" w:hAnsiTheme="minorHAnsi" w:cstheme="minorHAnsi"/>
          <w:color w:val="auto"/>
          <w:lang w:val="es-ES_tradnl"/>
        </w:rPr>
        <w:t xml:space="preserve"> se ha mencionado anteriormente, </w:t>
      </w:r>
      <w:proofErr w:type="gramStart"/>
      <w:r w:rsidR="008E7297" w:rsidRPr="00977020">
        <w:rPr>
          <w:rFonts w:asciiTheme="minorHAnsi" w:hAnsiTheme="minorHAnsi" w:cstheme="minorHAnsi"/>
          <w:color w:val="auto"/>
          <w:lang w:val="es-ES_tradnl"/>
        </w:rPr>
        <w:t>la continuidad en los años futuros de las políticas actuales acostumbran</w:t>
      </w:r>
      <w:proofErr w:type="gramEnd"/>
      <w:r w:rsidR="008E7297" w:rsidRPr="00977020">
        <w:rPr>
          <w:rFonts w:asciiTheme="minorHAnsi" w:hAnsiTheme="minorHAnsi" w:cstheme="minorHAnsi"/>
          <w:color w:val="auto"/>
          <w:lang w:val="es-ES_tradnl"/>
        </w:rPr>
        <w:t xml:space="preserve"> a suponer un incremento del gasto. Por ejemplo, de acuerdo con el I</w:t>
      </w:r>
      <w:hyperlink r:id="rId17" w:history="1">
        <w:r w:rsidR="008E7297" w:rsidRPr="00977020">
          <w:rPr>
            <w:rStyle w:val="Enlla"/>
            <w:rFonts w:asciiTheme="minorHAnsi" w:hAnsiTheme="minorHAnsi" w:cstheme="minorHAnsi"/>
            <w:b/>
            <w:color w:val="auto"/>
            <w:lang w:val="es-ES_tradnl"/>
          </w:rPr>
          <w:t>nforme de Orientaciones Presupuestarias (IOP)</w:t>
        </w:r>
      </w:hyperlink>
      <w:r w:rsidR="008E7297" w:rsidRPr="00977020">
        <w:rPr>
          <w:rFonts w:asciiTheme="minorHAnsi" w:hAnsiTheme="minorHAnsi" w:cstheme="minorHAnsi"/>
          <w:color w:val="auto"/>
          <w:lang w:val="es-ES_tradnl"/>
        </w:rPr>
        <w:t xml:space="preserve"> de la Generalitat de Catalunya en relación a </w:t>
      </w:r>
      <w:r w:rsidR="000E00F0" w:rsidRPr="00977020">
        <w:rPr>
          <w:rFonts w:asciiTheme="minorHAnsi" w:hAnsiTheme="minorHAnsi" w:cstheme="minorHAnsi"/>
          <w:color w:val="auto"/>
          <w:lang w:val="es-ES_tradnl"/>
        </w:rPr>
        <w:t>la confección del Presupuesto 2024</w:t>
      </w:r>
      <w:r w:rsidR="008E7297" w:rsidRPr="00977020">
        <w:rPr>
          <w:rFonts w:asciiTheme="minorHAnsi" w:hAnsiTheme="minorHAnsi" w:cstheme="minorHAnsi"/>
          <w:color w:val="auto"/>
          <w:lang w:val="es-ES_tradnl"/>
        </w:rPr>
        <w:t xml:space="preserve">, se </w:t>
      </w:r>
      <w:r w:rsidRPr="00977020">
        <w:rPr>
          <w:rFonts w:asciiTheme="minorHAnsi" w:hAnsiTheme="minorHAnsi" w:cstheme="minorHAnsi"/>
          <w:color w:val="auto"/>
          <w:lang w:val="es-ES_tradnl"/>
        </w:rPr>
        <w:t>estimaba</w:t>
      </w:r>
      <w:r w:rsidR="008E7297" w:rsidRPr="00977020">
        <w:rPr>
          <w:rFonts w:asciiTheme="minorHAnsi" w:hAnsiTheme="minorHAnsi" w:cstheme="minorHAnsi"/>
          <w:color w:val="auto"/>
          <w:lang w:val="es-ES_tradnl"/>
        </w:rPr>
        <w:t xml:space="preserve"> que la </w:t>
      </w:r>
      <w:r w:rsidR="008E7297" w:rsidRPr="00977020">
        <w:rPr>
          <w:rFonts w:asciiTheme="minorHAnsi" w:hAnsiTheme="minorHAnsi" w:cstheme="minorHAnsi"/>
          <w:b/>
          <w:color w:val="auto"/>
          <w:lang w:val="es-ES_tradnl"/>
        </w:rPr>
        <w:t xml:space="preserve">continuidad de las políticas del </w:t>
      </w:r>
      <w:r w:rsidR="000E00F0" w:rsidRPr="00977020">
        <w:rPr>
          <w:rFonts w:asciiTheme="minorHAnsi" w:hAnsiTheme="minorHAnsi" w:cstheme="minorHAnsi"/>
          <w:b/>
          <w:color w:val="auto"/>
          <w:lang w:val="es-ES_tradnl"/>
        </w:rPr>
        <w:t>ejercicio 2023</w:t>
      </w:r>
      <w:r w:rsidR="008E7297" w:rsidRPr="00977020">
        <w:rPr>
          <w:rFonts w:asciiTheme="minorHAnsi" w:hAnsiTheme="minorHAnsi" w:cstheme="minorHAnsi"/>
          <w:b/>
          <w:color w:val="auto"/>
          <w:lang w:val="es-ES_tradnl"/>
        </w:rPr>
        <w:t xml:space="preserve"> suponían un incremento medio anual</w:t>
      </w:r>
      <w:r w:rsidR="00BA0BD6" w:rsidRPr="00977020">
        <w:rPr>
          <w:rFonts w:asciiTheme="minorHAnsi" w:hAnsiTheme="minorHAnsi" w:cstheme="minorHAnsi"/>
          <w:b/>
          <w:color w:val="auto"/>
          <w:lang w:val="es-ES_tradnl"/>
        </w:rPr>
        <w:t xml:space="preserve"> acumulado</w:t>
      </w:r>
      <w:r w:rsidR="008E7297" w:rsidRPr="00977020">
        <w:rPr>
          <w:rFonts w:asciiTheme="minorHAnsi" w:hAnsiTheme="minorHAnsi" w:cstheme="minorHAnsi"/>
          <w:b/>
          <w:color w:val="auto"/>
          <w:lang w:val="es-ES_tradnl"/>
        </w:rPr>
        <w:t xml:space="preserve"> del </w:t>
      </w:r>
      <w:r w:rsidR="00BA0BD6" w:rsidRPr="00977020">
        <w:rPr>
          <w:rFonts w:asciiTheme="minorHAnsi" w:hAnsiTheme="minorHAnsi" w:cstheme="minorHAnsi"/>
          <w:b/>
          <w:color w:val="auto"/>
          <w:lang w:val="es-ES_tradnl"/>
        </w:rPr>
        <w:t>1,8</w:t>
      </w:r>
      <w:r w:rsidR="006F445D" w:rsidRPr="00977020">
        <w:rPr>
          <w:rFonts w:asciiTheme="minorHAnsi" w:hAnsiTheme="minorHAnsi" w:cstheme="minorHAnsi"/>
          <w:b/>
          <w:color w:val="auto"/>
          <w:lang w:val="es-ES_tradnl"/>
        </w:rPr>
        <w:t>2</w:t>
      </w:r>
      <w:r w:rsidR="008E7297" w:rsidRPr="00977020">
        <w:rPr>
          <w:rFonts w:asciiTheme="minorHAnsi" w:hAnsiTheme="minorHAnsi" w:cstheme="minorHAnsi"/>
          <w:b/>
          <w:color w:val="auto"/>
          <w:lang w:val="es-ES_tradnl"/>
        </w:rPr>
        <w:t xml:space="preserve">% en los gastos corrientes en el periodo </w:t>
      </w:r>
      <w:r w:rsidR="00BA0BD6" w:rsidRPr="00977020">
        <w:rPr>
          <w:rFonts w:asciiTheme="minorHAnsi" w:hAnsiTheme="minorHAnsi" w:cstheme="minorHAnsi"/>
          <w:b/>
          <w:color w:val="auto"/>
          <w:lang w:val="es-ES_tradnl"/>
        </w:rPr>
        <w:t>2024-202</w:t>
      </w:r>
      <w:r w:rsidR="00BA0BD6" w:rsidRPr="00977020">
        <w:rPr>
          <w:rFonts w:asciiTheme="minorHAnsi" w:hAnsiTheme="minorHAnsi" w:cstheme="minorHAnsi"/>
          <w:color w:val="auto"/>
          <w:lang w:val="es-ES_tradnl"/>
        </w:rPr>
        <w:t>7</w:t>
      </w:r>
      <w:r w:rsidR="008E7297" w:rsidRPr="00977020">
        <w:rPr>
          <w:rFonts w:asciiTheme="minorHAnsi" w:hAnsiTheme="minorHAnsi" w:cstheme="minorHAnsi"/>
          <w:color w:val="auto"/>
          <w:lang w:val="es-ES_tradnl"/>
        </w:rPr>
        <w:t>.</w:t>
      </w:r>
    </w:p>
    <w:p w14:paraId="5337BDF3" w14:textId="0AA4D186" w:rsidR="008E7297" w:rsidRPr="00977020" w:rsidRDefault="008E7297"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Por lo tanto, a modo de resumen, la Generalitat cuenta con una </w:t>
      </w:r>
      <w:r w:rsidRPr="00977020">
        <w:rPr>
          <w:rFonts w:asciiTheme="minorHAnsi" w:hAnsiTheme="minorHAnsi" w:cstheme="minorHAnsi"/>
          <w:b/>
          <w:color w:val="auto"/>
          <w:lang w:val="es-ES_tradnl"/>
        </w:rPr>
        <w:t>capacidad normativa limitada que afecta en menos de la mitad de sus ingresos</w:t>
      </w:r>
      <w:r w:rsidRPr="00977020">
        <w:rPr>
          <w:rFonts w:asciiTheme="minorHAnsi" w:hAnsiTheme="minorHAnsi" w:cstheme="minorHAnsi"/>
          <w:color w:val="auto"/>
          <w:lang w:val="es-ES_tradnl"/>
        </w:rPr>
        <w:t xml:space="preserve">, y, por lo tanto, con un </w:t>
      </w:r>
      <w:r w:rsidRPr="00977020">
        <w:rPr>
          <w:rFonts w:asciiTheme="minorHAnsi" w:hAnsiTheme="minorHAnsi" w:cstheme="minorHAnsi"/>
          <w:b/>
          <w:color w:val="auto"/>
          <w:lang w:val="es-ES_tradnl"/>
        </w:rPr>
        <w:t>recorrido de incremento de sus ingresos relativamente bajo</w:t>
      </w:r>
      <w:r w:rsidRPr="00977020">
        <w:rPr>
          <w:rFonts w:asciiTheme="minorHAnsi" w:hAnsiTheme="minorHAnsi" w:cstheme="minorHAnsi"/>
          <w:color w:val="auto"/>
          <w:lang w:val="es-ES_tradnl"/>
        </w:rPr>
        <w:t xml:space="preserve">, y, por otro lado, los </w:t>
      </w:r>
      <w:r w:rsidRPr="00977020">
        <w:rPr>
          <w:rFonts w:asciiTheme="minorHAnsi" w:hAnsiTheme="minorHAnsi" w:cstheme="minorHAnsi"/>
          <w:b/>
          <w:color w:val="auto"/>
          <w:lang w:val="es-ES_tradnl"/>
        </w:rPr>
        <w:t>gastos presentan un importante grado de rigidez y de recurrencia</w:t>
      </w:r>
      <w:r w:rsidRPr="00977020">
        <w:rPr>
          <w:rFonts w:asciiTheme="minorHAnsi" w:hAnsiTheme="minorHAnsi" w:cstheme="minorHAnsi"/>
          <w:color w:val="auto"/>
          <w:lang w:val="es-ES_tradnl"/>
        </w:rPr>
        <w:t xml:space="preserve">. En este sentido se presenta como un </w:t>
      </w:r>
      <w:r w:rsidRPr="00977020">
        <w:rPr>
          <w:rFonts w:asciiTheme="minorHAnsi" w:hAnsiTheme="minorHAnsi" w:cstheme="minorHAnsi"/>
          <w:b/>
          <w:color w:val="auto"/>
          <w:lang w:val="es-ES_tradnl"/>
        </w:rPr>
        <w:t>reto poder generar los espacios presupuestarios necesarios para poder financiar aquellos gastos prioritarios para hacer frente a las principales problemáticas sociales actuales y futuras de Cataluña</w:t>
      </w:r>
      <w:r w:rsidRPr="00977020">
        <w:rPr>
          <w:rFonts w:asciiTheme="minorHAnsi" w:hAnsiTheme="minorHAnsi" w:cstheme="minorHAnsi"/>
          <w:color w:val="auto"/>
          <w:lang w:val="es-ES_tradnl"/>
        </w:rPr>
        <w:t xml:space="preserve">, a la vez que la Generalitat tiene que </w:t>
      </w:r>
      <w:r w:rsidRPr="00977020">
        <w:rPr>
          <w:rFonts w:asciiTheme="minorHAnsi" w:hAnsiTheme="minorHAnsi" w:cstheme="minorHAnsi"/>
          <w:b/>
          <w:color w:val="auto"/>
          <w:lang w:val="es-ES_tradnl"/>
        </w:rPr>
        <w:t>reducir su deuda</w:t>
      </w:r>
      <w:r w:rsidRPr="00977020">
        <w:rPr>
          <w:rFonts w:asciiTheme="minorHAnsi" w:hAnsiTheme="minorHAnsi" w:cstheme="minorHAnsi"/>
          <w:color w:val="auto"/>
          <w:lang w:val="es-ES_tradnl"/>
        </w:rPr>
        <w:t xml:space="preserve"> con el fin de garantizar la </w:t>
      </w:r>
      <w:r w:rsidRPr="00977020">
        <w:rPr>
          <w:rFonts w:asciiTheme="minorHAnsi" w:hAnsiTheme="minorHAnsi" w:cstheme="minorHAnsi"/>
          <w:b/>
          <w:color w:val="auto"/>
          <w:lang w:val="es-ES_tradnl"/>
        </w:rPr>
        <w:t>sostenibilidad de sus finanzas</w:t>
      </w:r>
      <w:r w:rsidRPr="00977020">
        <w:rPr>
          <w:rFonts w:asciiTheme="minorHAnsi" w:hAnsiTheme="minorHAnsi" w:cstheme="minorHAnsi"/>
          <w:color w:val="auto"/>
          <w:lang w:val="es-ES_tradnl"/>
        </w:rPr>
        <w:t>.</w:t>
      </w:r>
    </w:p>
    <w:p w14:paraId="31C4E5F1" w14:textId="6FD34546" w:rsidR="008E7297" w:rsidRPr="00977020" w:rsidRDefault="008E7297" w:rsidP="003067FE">
      <w:pPr>
        <w:shd w:val="clear" w:color="auto" w:fill="auto"/>
        <w:spacing w:before="120" w:afterLines="100" w:after="240" w:line="276" w:lineRule="auto"/>
        <w:rPr>
          <w:rFonts w:asciiTheme="minorHAnsi" w:hAnsiTheme="minorHAnsi" w:cstheme="minorHAnsi"/>
          <w:color w:val="auto"/>
          <w:lang w:val="es-ES_tradnl"/>
        </w:rPr>
      </w:pPr>
    </w:p>
    <w:p w14:paraId="162A1092" w14:textId="77777777" w:rsidR="008E7297" w:rsidRPr="00977020" w:rsidRDefault="008E7297" w:rsidP="003067FE">
      <w:pPr>
        <w:shd w:val="clear" w:color="auto" w:fill="auto"/>
        <w:spacing w:before="120" w:afterLines="100" w:after="240" w:line="276" w:lineRule="auto"/>
        <w:rPr>
          <w:rFonts w:asciiTheme="minorHAnsi" w:hAnsiTheme="minorHAnsi" w:cstheme="minorHAnsi"/>
          <w:b/>
          <w:color w:val="auto"/>
          <w:sz w:val="32"/>
          <w:szCs w:val="32"/>
          <w:lang w:val="es-ES_tradnl"/>
        </w:rPr>
      </w:pPr>
      <w:r w:rsidRPr="00977020">
        <w:rPr>
          <w:rFonts w:asciiTheme="minorHAnsi" w:hAnsiTheme="minorHAnsi" w:cstheme="minorHAnsi"/>
          <w:b/>
          <w:color w:val="auto"/>
          <w:sz w:val="32"/>
          <w:szCs w:val="32"/>
          <w:lang w:val="es-ES_tradnl"/>
        </w:rPr>
        <w:t>Opciones planteadas en el debate</w:t>
      </w:r>
    </w:p>
    <w:p w14:paraId="286ADD00" w14:textId="77777777" w:rsidR="00571CC1" w:rsidRPr="00977020" w:rsidRDefault="00571CC1"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Para este eje de debate se </w:t>
      </w:r>
      <w:r w:rsidRPr="00977020">
        <w:rPr>
          <w:rFonts w:asciiTheme="minorHAnsi" w:hAnsiTheme="minorHAnsi" w:cstheme="minorHAnsi"/>
          <w:b/>
          <w:color w:val="auto"/>
          <w:lang w:val="es-ES_tradnl"/>
        </w:rPr>
        <w:t>plantean una serie de opciones pre-definidas con respecto a medidas tributarias que suponen un incremento de los ingresos,</w:t>
      </w:r>
      <w:r w:rsidRPr="00977020">
        <w:rPr>
          <w:rFonts w:asciiTheme="minorHAnsi" w:hAnsiTheme="minorHAnsi" w:cstheme="minorHAnsi"/>
          <w:color w:val="auto"/>
          <w:lang w:val="es-ES_tradnl"/>
        </w:rPr>
        <w:t xml:space="preserve"> y, por lo tanto, un incremento del espacio presupuestario, así como </w:t>
      </w:r>
      <w:r w:rsidRPr="00977020">
        <w:rPr>
          <w:rFonts w:asciiTheme="minorHAnsi" w:hAnsiTheme="minorHAnsi" w:cstheme="minorHAnsi"/>
          <w:b/>
          <w:color w:val="auto"/>
          <w:lang w:val="es-ES_tradnl"/>
        </w:rPr>
        <w:t>se exponen las diferentes agrupaciones de políticas públicas de gasto</w:t>
      </w:r>
      <w:r w:rsidRPr="00977020">
        <w:rPr>
          <w:rFonts w:asciiTheme="minorHAnsi" w:hAnsiTheme="minorHAnsi" w:cstheme="minorHAnsi"/>
          <w:color w:val="auto"/>
          <w:lang w:val="es-ES_tradnl"/>
        </w:rPr>
        <w:t xml:space="preserve"> de la Generalitat de Catalunya, </w:t>
      </w:r>
      <w:r w:rsidRPr="00977020">
        <w:rPr>
          <w:rFonts w:asciiTheme="minorHAnsi" w:hAnsiTheme="minorHAnsi" w:cstheme="minorHAnsi"/>
          <w:b/>
          <w:color w:val="auto"/>
          <w:lang w:val="es-ES_tradnl"/>
        </w:rPr>
        <w:t>las cuales pueden ser objeto de reducción en sus recursos, con el fin de poder ser reasignarlos a otras prioridades</w:t>
      </w:r>
      <w:r w:rsidRPr="00977020">
        <w:rPr>
          <w:rFonts w:asciiTheme="minorHAnsi" w:hAnsiTheme="minorHAnsi" w:cstheme="minorHAnsi"/>
          <w:color w:val="auto"/>
          <w:lang w:val="es-ES_tradnl"/>
        </w:rPr>
        <w:t xml:space="preserve">.   </w:t>
      </w:r>
    </w:p>
    <w:p w14:paraId="26AD223E" w14:textId="77777777" w:rsidR="00571CC1" w:rsidRPr="00977020" w:rsidRDefault="00571CC1"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El objeto de este eje de debate es la </w:t>
      </w:r>
      <w:r w:rsidRPr="00977020">
        <w:rPr>
          <w:rFonts w:asciiTheme="minorHAnsi" w:hAnsiTheme="minorHAnsi" w:cstheme="minorHAnsi"/>
          <w:b/>
          <w:color w:val="auto"/>
          <w:lang w:val="es-ES_tradnl"/>
        </w:rPr>
        <w:t>discusión y selección de diferentes opciones de incremento de ingresos y de reducción de gastos, con el fin de incrementar el espacio presupuestario y financiar nuevas iniciativas prioritarias</w:t>
      </w:r>
      <w:r w:rsidRPr="00977020">
        <w:rPr>
          <w:rFonts w:asciiTheme="minorHAnsi" w:hAnsiTheme="minorHAnsi" w:cstheme="minorHAnsi"/>
          <w:color w:val="auto"/>
          <w:lang w:val="es-ES_tradnl"/>
        </w:rPr>
        <w:t>.</w:t>
      </w:r>
    </w:p>
    <w:p w14:paraId="5B0764D0" w14:textId="0820B919" w:rsidR="00571CC1" w:rsidRPr="00977020" w:rsidRDefault="00571CC1"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Desde el lado de las </w:t>
      </w:r>
      <w:r w:rsidRPr="00977020">
        <w:rPr>
          <w:rFonts w:asciiTheme="minorHAnsi" w:hAnsiTheme="minorHAnsi" w:cstheme="minorHAnsi"/>
          <w:b/>
          <w:color w:val="auto"/>
          <w:lang w:val="es-ES_tradnl"/>
        </w:rPr>
        <w:t>opciones de incremento de ingresos</w:t>
      </w:r>
      <w:r w:rsidRPr="00977020">
        <w:rPr>
          <w:rFonts w:asciiTheme="minorHAnsi" w:hAnsiTheme="minorHAnsi" w:cstheme="minorHAnsi"/>
          <w:color w:val="auto"/>
          <w:lang w:val="es-ES_tradnl"/>
        </w:rPr>
        <w:t xml:space="preserve">, se facilitan las siguientes medidas con respecto a </w:t>
      </w:r>
      <w:r w:rsidRPr="00977020">
        <w:rPr>
          <w:rFonts w:asciiTheme="minorHAnsi" w:hAnsiTheme="minorHAnsi" w:cstheme="minorHAnsi"/>
          <w:b/>
          <w:color w:val="auto"/>
          <w:lang w:val="es-ES_tradnl"/>
        </w:rPr>
        <w:t>impuestos</w:t>
      </w:r>
      <w:r w:rsidRPr="00977020">
        <w:rPr>
          <w:rFonts w:asciiTheme="minorHAnsi" w:hAnsiTheme="minorHAnsi" w:cstheme="minorHAnsi"/>
          <w:color w:val="auto"/>
          <w:lang w:val="es-ES_tradnl"/>
        </w:rPr>
        <w:t>, con las correspondientes estimaciones de mayores ingresos y de contribuyentes afectados:</w:t>
      </w:r>
    </w:p>
    <w:p w14:paraId="6A69B21F" w14:textId="77777777" w:rsidR="00402FA0" w:rsidRPr="00977020" w:rsidRDefault="00402FA0" w:rsidP="003067FE">
      <w:pPr>
        <w:shd w:val="clear" w:color="auto" w:fill="auto"/>
        <w:spacing w:before="120" w:afterLines="100" w:after="240" w:line="276" w:lineRule="auto"/>
        <w:rPr>
          <w:rFonts w:asciiTheme="minorHAnsi" w:hAnsiTheme="minorHAnsi" w:cstheme="minorHAnsi"/>
          <w:color w:val="auto"/>
          <w:lang w:val="es-ES_tradnl"/>
        </w:rPr>
      </w:pPr>
    </w:p>
    <w:p w14:paraId="73BF12EB" w14:textId="77777777" w:rsidR="00662FED" w:rsidRPr="00977020" w:rsidRDefault="00662FED" w:rsidP="003067FE">
      <w:pPr>
        <w:spacing w:before="120" w:after="120"/>
        <w:ind w:firstLine="3"/>
        <w:rPr>
          <w:rFonts w:asciiTheme="minorHAnsi" w:hAnsiTheme="minorHAnsi" w:cstheme="minorHAnsi"/>
          <w:color w:val="auto"/>
          <w:sz w:val="20"/>
          <w:lang w:val="es-ES_tradnl"/>
        </w:rPr>
      </w:pPr>
      <w:r w:rsidRPr="00977020">
        <w:rPr>
          <w:rFonts w:asciiTheme="minorHAnsi" w:hAnsiTheme="minorHAnsi" w:cstheme="minorHAnsi"/>
          <w:color w:val="auto"/>
          <w:sz w:val="20"/>
          <w:lang w:val="es-ES_tradnl"/>
        </w:rPr>
        <w:t xml:space="preserve">- </w:t>
      </w:r>
      <w:r w:rsidRPr="00977020">
        <w:rPr>
          <w:rFonts w:asciiTheme="minorHAnsi" w:hAnsiTheme="minorHAnsi" w:cstheme="minorHAnsi"/>
          <w:color w:val="auto"/>
          <w:sz w:val="20"/>
          <w:u w:val="single"/>
          <w:lang w:val="es-ES_tradnl"/>
        </w:rPr>
        <w:t>Impuesto sobre la renta de las personas físicas (IRPF) (tramo autonómico):</w:t>
      </w:r>
    </w:p>
    <w:tbl>
      <w:tblPr>
        <w:tblW w:w="9199" w:type="dxa"/>
        <w:tblLook w:val="04A0" w:firstRow="1" w:lastRow="0" w:firstColumn="1" w:lastColumn="0" w:noHBand="0" w:noVBand="1"/>
      </w:tblPr>
      <w:tblGrid>
        <w:gridCol w:w="1524"/>
        <w:gridCol w:w="421"/>
        <w:gridCol w:w="2262"/>
        <w:gridCol w:w="266"/>
        <w:gridCol w:w="2262"/>
        <w:gridCol w:w="222"/>
        <w:gridCol w:w="2242"/>
      </w:tblGrid>
      <w:tr w:rsidR="00977020" w:rsidRPr="00977020" w14:paraId="1CDC8967" w14:textId="77777777" w:rsidTr="0016248E">
        <w:trPr>
          <w:trHeight w:val="421"/>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7CCA" w14:textId="4FA65CC5" w:rsidR="00662FED" w:rsidRPr="00977020" w:rsidRDefault="004029BB"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Número medida</w:t>
            </w:r>
          </w:p>
        </w:tc>
        <w:tc>
          <w:tcPr>
            <w:tcW w:w="421" w:type="dxa"/>
            <w:tcBorders>
              <w:top w:val="nil"/>
              <w:left w:val="nil"/>
              <w:bottom w:val="nil"/>
              <w:right w:val="nil"/>
            </w:tcBorders>
            <w:shd w:val="clear" w:color="000000" w:fill="FFFFFF"/>
            <w:vAlign w:val="center"/>
            <w:hideMark/>
          </w:tcPr>
          <w:p w14:paraId="585E27A0"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30196"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1</w:t>
            </w:r>
          </w:p>
        </w:tc>
        <w:tc>
          <w:tcPr>
            <w:tcW w:w="266" w:type="dxa"/>
            <w:tcBorders>
              <w:top w:val="nil"/>
              <w:left w:val="nil"/>
              <w:bottom w:val="nil"/>
              <w:right w:val="nil"/>
            </w:tcBorders>
            <w:shd w:val="clear" w:color="000000" w:fill="FFFFFF"/>
            <w:noWrap/>
            <w:vAlign w:val="bottom"/>
            <w:hideMark/>
          </w:tcPr>
          <w:p w14:paraId="6D00B6E0"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91FB"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2</w:t>
            </w:r>
          </w:p>
        </w:tc>
        <w:tc>
          <w:tcPr>
            <w:tcW w:w="222" w:type="dxa"/>
            <w:tcBorders>
              <w:top w:val="nil"/>
              <w:left w:val="nil"/>
              <w:bottom w:val="nil"/>
              <w:right w:val="nil"/>
            </w:tcBorders>
            <w:shd w:val="clear" w:color="auto" w:fill="auto"/>
            <w:noWrap/>
            <w:vAlign w:val="bottom"/>
            <w:hideMark/>
          </w:tcPr>
          <w:p w14:paraId="46112585" w14:textId="77777777" w:rsidR="00662FED" w:rsidRPr="00977020" w:rsidRDefault="00662FED" w:rsidP="003067FE">
            <w:pPr>
              <w:shd w:val="clear" w:color="auto" w:fill="auto"/>
              <w:spacing w:after="0" w:line="240" w:lineRule="auto"/>
              <w:rPr>
                <w:b/>
                <w:bCs/>
                <w:color w:val="auto"/>
                <w:sz w:val="18"/>
                <w:szCs w:val="18"/>
                <w:lang w:val="es-ES_tradnl"/>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94945"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3</w:t>
            </w:r>
          </w:p>
        </w:tc>
      </w:tr>
      <w:tr w:rsidR="00977020" w:rsidRPr="00977020" w14:paraId="1FBC07A0" w14:textId="77777777" w:rsidTr="00662FED">
        <w:trPr>
          <w:trHeight w:val="421"/>
        </w:trPr>
        <w:tc>
          <w:tcPr>
            <w:tcW w:w="1524" w:type="dxa"/>
            <w:tcBorders>
              <w:top w:val="nil"/>
              <w:left w:val="single" w:sz="4" w:space="0" w:color="auto"/>
              <w:bottom w:val="single" w:sz="4" w:space="0" w:color="auto"/>
              <w:right w:val="single" w:sz="4" w:space="0" w:color="auto"/>
            </w:tcBorders>
            <w:shd w:val="clear" w:color="000000" w:fill="FFE699"/>
            <w:vAlign w:val="center"/>
            <w:hideMark/>
          </w:tcPr>
          <w:p w14:paraId="538FE3C6" w14:textId="29A03835"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Impuesto</w:t>
            </w:r>
          </w:p>
        </w:tc>
        <w:tc>
          <w:tcPr>
            <w:tcW w:w="421" w:type="dxa"/>
            <w:tcBorders>
              <w:top w:val="nil"/>
              <w:left w:val="nil"/>
              <w:bottom w:val="nil"/>
              <w:right w:val="nil"/>
            </w:tcBorders>
            <w:shd w:val="clear" w:color="000000" w:fill="FFFFFF"/>
            <w:vAlign w:val="center"/>
            <w:hideMark/>
          </w:tcPr>
          <w:p w14:paraId="5221F4FA"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262" w:type="dxa"/>
            <w:tcBorders>
              <w:top w:val="nil"/>
              <w:left w:val="single" w:sz="4" w:space="0" w:color="auto"/>
              <w:bottom w:val="single" w:sz="4" w:space="0" w:color="auto"/>
              <w:right w:val="single" w:sz="4" w:space="0" w:color="auto"/>
            </w:tcBorders>
            <w:shd w:val="clear" w:color="000000" w:fill="FFE699"/>
            <w:vAlign w:val="center"/>
            <w:hideMark/>
          </w:tcPr>
          <w:p w14:paraId="7BBFF0AF"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IRPF (tramo autonómico)</w:t>
            </w:r>
          </w:p>
        </w:tc>
        <w:tc>
          <w:tcPr>
            <w:tcW w:w="266" w:type="dxa"/>
            <w:tcBorders>
              <w:top w:val="nil"/>
              <w:left w:val="nil"/>
              <w:bottom w:val="nil"/>
              <w:right w:val="nil"/>
            </w:tcBorders>
            <w:shd w:val="clear" w:color="000000" w:fill="FFFFFF"/>
            <w:noWrap/>
            <w:vAlign w:val="bottom"/>
            <w:hideMark/>
          </w:tcPr>
          <w:p w14:paraId="0D816FED" w14:textId="77777777" w:rsidR="00662FED" w:rsidRPr="00977020" w:rsidRDefault="00662FED" w:rsidP="003067FE">
            <w:pPr>
              <w:shd w:val="clear" w:color="auto" w:fill="auto"/>
              <w:spacing w:after="0" w:line="240" w:lineRule="auto"/>
              <w:rPr>
                <w:rFonts w:ascii="Calibri" w:hAnsi="Calibri" w:cs="Calibri"/>
                <w:color w:val="auto"/>
                <w:sz w:val="16"/>
                <w:szCs w:val="16"/>
                <w:lang w:val="es-ES_tradnl"/>
              </w:rPr>
            </w:pPr>
            <w:r w:rsidRPr="00977020">
              <w:rPr>
                <w:rFonts w:ascii="Calibri" w:hAnsi="Calibri" w:cs="Calibri"/>
                <w:color w:val="auto"/>
                <w:sz w:val="16"/>
                <w:szCs w:val="16"/>
                <w:lang w:val="es-ES_tradnl"/>
              </w:rPr>
              <w:t> </w:t>
            </w:r>
          </w:p>
        </w:tc>
        <w:tc>
          <w:tcPr>
            <w:tcW w:w="2262" w:type="dxa"/>
            <w:tcBorders>
              <w:top w:val="nil"/>
              <w:left w:val="single" w:sz="4" w:space="0" w:color="auto"/>
              <w:bottom w:val="single" w:sz="4" w:space="0" w:color="auto"/>
              <w:right w:val="single" w:sz="4" w:space="0" w:color="auto"/>
            </w:tcBorders>
            <w:shd w:val="clear" w:color="000000" w:fill="FFE699"/>
            <w:vAlign w:val="center"/>
            <w:hideMark/>
          </w:tcPr>
          <w:p w14:paraId="39AF7E70"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IRPF (tramo autonómico)</w:t>
            </w:r>
          </w:p>
        </w:tc>
        <w:tc>
          <w:tcPr>
            <w:tcW w:w="222" w:type="dxa"/>
            <w:tcBorders>
              <w:top w:val="nil"/>
              <w:left w:val="nil"/>
              <w:bottom w:val="nil"/>
              <w:right w:val="nil"/>
            </w:tcBorders>
            <w:shd w:val="clear" w:color="auto" w:fill="auto"/>
            <w:noWrap/>
            <w:vAlign w:val="bottom"/>
            <w:hideMark/>
          </w:tcPr>
          <w:p w14:paraId="1C925007" w14:textId="77777777" w:rsidR="00662FED" w:rsidRPr="00977020" w:rsidRDefault="00662FED" w:rsidP="003067FE">
            <w:pPr>
              <w:shd w:val="clear" w:color="auto" w:fill="auto"/>
              <w:spacing w:after="0" w:line="240" w:lineRule="auto"/>
              <w:rPr>
                <w:b/>
                <w:bCs/>
                <w:color w:val="auto"/>
                <w:sz w:val="16"/>
                <w:szCs w:val="16"/>
                <w:lang w:val="es-ES_tradnl"/>
              </w:rPr>
            </w:pPr>
          </w:p>
        </w:tc>
        <w:tc>
          <w:tcPr>
            <w:tcW w:w="2242" w:type="dxa"/>
            <w:tcBorders>
              <w:top w:val="nil"/>
              <w:left w:val="single" w:sz="4" w:space="0" w:color="auto"/>
              <w:bottom w:val="single" w:sz="4" w:space="0" w:color="auto"/>
              <w:right w:val="single" w:sz="4" w:space="0" w:color="auto"/>
            </w:tcBorders>
            <w:shd w:val="clear" w:color="000000" w:fill="FFE699"/>
            <w:vAlign w:val="center"/>
            <w:hideMark/>
          </w:tcPr>
          <w:p w14:paraId="3414DF01"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IRPF (tramo autonómico)</w:t>
            </w:r>
          </w:p>
        </w:tc>
      </w:tr>
      <w:tr w:rsidR="00977020" w:rsidRPr="00977020" w14:paraId="0C799E47" w14:textId="77777777" w:rsidTr="00662FED">
        <w:trPr>
          <w:trHeight w:val="1164"/>
        </w:trPr>
        <w:tc>
          <w:tcPr>
            <w:tcW w:w="1524" w:type="dxa"/>
            <w:tcBorders>
              <w:top w:val="nil"/>
              <w:left w:val="single" w:sz="4" w:space="0" w:color="auto"/>
              <w:bottom w:val="single" w:sz="4" w:space="0" w:color="auto"/>
              <w:right w:val="single" w:sz="4" w:space="0" w:color="auto"/>
            </w:tcBorders>
            <w:shd w:val="clear" w:color="000000" w:fill="FFE699"/>
            <w:vAlign w:val="center"/>
            <w:hideMark/>
          </w:tcPr>
          <w:p w14:paraId="0B7D4BF0"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Medida</w:t>
            </w:r>
          </w:p>
        </w:tc>
        <w:tc>
          <w:tcPr>
            <w:tcW w:w="421" w:type="dxa"/>
            <w:tcBorders>
              <w:top w:val="nil"/>
              <w:left w:val="nil"/>
              <w:bottom w:val="nil"/>
              <w:right w:val="nil"/>
            </w:tcBorders>
            <w:shd w:val="clear" w:color="000000" w:fill="FFFFFF"/>
            <w:vAlign w:val="center"/>
            <w:hideMark/>
          </w:tcPr>
          <w:p w14:paraId="60D6DC40"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262" w:type="dxa"/>
            <w:tcBorders>
              <w:top w:val="nil"/>
              <w:left w:val="single" w:sz="4" w:space="0" w:color="auto"/>
              <w:bottom w:val="single" w:sz="4" w:space="0" w:color="auto"/>
              <w:right w:val="single" w:sz="4" w:space="0" w:color="auto"/>
            </w:tcBorders>
            <w:shd w:val="clear" w:color="000000" w:fill="FFE699"/>
            <w:vAlign w:val="center"/>
            <w:hideMark/>
          </w:tcPr>
          <w:p w14:paraId="2DCC6795"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 xml:space="preserve">Incrementar 1 punto porcentual el tipo de los </w:t>
            </w:r>
            <w:r w:rsidRPr="00977020">
              <w:rPr>
                <w:b/>
                <w:bCs/>
                <w:color w:val="auto"/>
                <w:sz w:val="18"/>
                <w:szCs w:val="18"/>
                <w:u w:val="single"/>
                <w:lang w:val="es-ES_tradnl"/>
              </w:rPr>
              <w:t>tramos</w:t>
            </w:r>
            <w:r w:rsidRPr="00977020">
              <w:rPr>
                <w:b/>
                <w:bCs/>
                <w:color w:val="auto"/>
                <w:sz w:val="18"/>
                <w:szCs w:val="18"/>
                <w:lang w:val="es-ES_tradnl"/>
              </w:rPr>
              <w:t xml:space="preserve"> de renta </w:t>
            </w:r>
            <w:r w:rsidRPr="00977020">
              <w:rPr>
                <w:b/>
                <w:bCs/>
                <w:color w:val="auto"/>
                <w:sz w:val="18"/>
                <w:szCs w:val="18"/>
                <w:u w:val="single"/>
                <w:lang w:val="es-ES_tradnl"/>
              </w:rPr>
              <w:t>superiores a 53.407,20 €</w:t>
            </w:r>
          </w:p>
        </w:tc>
        <w:tc>
          <w:tcPr>
            <w:tcW w:w="266" w:type="dxa"/>
            <w:tcBorders>
              <w:top w:val="nil"/>
              <w:left w:val="nil"/>
              <w:bottom w:val="nil"/>
              <w:right w:val="nil"/>
            </w:tcBorders>
            <w:shd w:val="clear" w:color="000000" w:fill="FFFFFF"/>
            <w:noWrap/>
            <w:vAlign w:val="bottom"/>
            <w:hideMark/>
          </w:tcPr>
          <w:p w14:paraId="15AE7AED"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262" w:type="dxa"/>
            <w:tcBorders>
              <w:top w:val="nil"/>
              <w:left w:val="single" w:sz="4" w:space="0" w:color="auto"/>
              <w:bottom w:val="single" w:sz="4" w:space="0" w:color="auto"/>
              <w:right w:val="single" w:sz="4" w:space="0" w:color="auto"/>
            </w:tcBorders>
            <w:shd w:val="clear" w:color="000000" w:fill="FFE699"/>
            <w:vAlign w:val="center"/>
            <w:hideMark/>
          </w:tcPr>
          <w:p w14:paraId="61AE87A0"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 xml:space="preserve">Incrementar 1 punto porcentual el tipo del </w:t>
            </w:r>
            <w:r w:rsidRPr="00977020">
              <w:rPr>
                <w:b/>
                <w:bCs/>
                <w:color w:val="auto"/>
                <w:sz w:val="18"/>
                <w:szCs w:val="18"/>
                <w:u w:val="single"/>
                <w:lang w:val="es-ES_tradnl"/>
              </w:rPr>
              <w:t>último tramo</w:t>
            </w:r>
            <w:r w:rsidRPr="00977020">
              <w:rPr>
                <w:b/>
                <w:bCs/>
                <w:color w:val="auto"/>
                <w:sz w:val="18"/>
                <w:szCs w:val="18"/>
                <w:lang w:val="es-ES_tradnl"/>
              </w:rPr>
              <w:t xml:space="preserve"> de renta (a partir de 175.000€)</w:t>
            </w:r>
          </w:p>
        </w:tc>
        <w:tc>
          <w:tcPr>
            <w:tcW w:w="222" w:type="dxa"/>
            <w:tcBorders>
              <w:top w:val="nil"/>
              <w:left w:val="nil"/>
              <w:bottom w:val="nil"/>
              <w:right w:val="nil"/>
            </w:tcBorders>
            <w:shd w:val="clear" w:color="auto" w:fill="auto"/>
            <w:noWrap/>
            <w:vAlign w:val="bottom"/>
            <w:hideMark/>
          </w:tcPr>
          <w:p w14:paraId="7F95E16F" w14:textId="77777777" w:rsidR="00662FED" w:rsidRPr="00977020" w:rsidRDefault="00662FED" w:rsidP="003067FE">
            <w:pPr>
              <w:shd w:val="clear" w:color="auto" w:fill="auto"/>
              <w:spacing w:after="0" w:line="240" w:lineRule="auto"/>
              <w:rPr>
                <w:b/>
                <w:bCs/>
                <w:color w:val="auto"/>
                <w:sz w:val="18"/>
                <w:szCs w:val="18"/>
                <w:lang w:val="es-ES_tradnl"/>
              </w:rPr>
            </w:pPr>
          </w:p>
        </w:tc>
        <w:tc>
          <w:tcPr>
            <w:tcW w:w="2242" w:type="dxa"/>
            <w:tcBorders>
              <w:top w:val="nil"/>
              <w:left w:val="single" w:sz="4" w:space="0" w:color="auto"/>
              <w:bottom w:val="single" w:sz="4" w:space="0" w:color="auto"/>
              <w:right w:val="single" w:sz="4" w:space="0" w:color="auto"/>
            </w:tcBorders>
            <w:shd w:val="clear" w:color="000000" w:fill="FFE699"/>
            <w:vAlign w:val="center"/>
            <w:hideMark/>
          </w:tcPr>
          <w:p w14:paraId="33F65723" w14:textId="07A5B9DA"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Supresión de la deducción del alquiler por vivienda habitual*</w:t>
            </w:r>
          </w:p>
        </w:tc>
      </w:tr>
      <w:tr w:rsidR="00977020" w:rsidRPr="00977020" w14:paraId="69F065ED" w14:textId="77777777" w:rsidTr="00662FED">
        <w:trPr>
          <w:trHeight w:val="421"/>
        </w:trPr>
        <w:tc>
          <w:tcPr>
            <w:tcW w:w="1524" w:type="dxa"/>
            <w:tcBorders>
              <w:top w:val="nil"/>
              <w:left w:val="single" w:sz="4" w:space="0" w:color="auto"/>
              <w:bottom w:val="single" w:sz="4" w:space="0" w:color="auto"/>
              <w:right w:val="single" w:sz="4" w:space="0" w:color="auto"/>
            </w:tcBorders>
            <w:shd w:val="clear" w:color="000000" w:fill="D9D9D9"/>
            <w:vAlign w:val="center"/>
            <w:hideMark/>
          </w:tcPr>
          <w:p w14:paraId="30B9C4FD"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Tipo de medida</w:t>
            </w:r>
          </w:p>
        </w:tc>
        <w:tc>
          <w:tcPr>
            <w:tcW w:w="421" w:type="dxa"/>
            <w:tcBorders>
              <w:top w:val="nil"/>
              <w:left w:val="nil"/>
              <w:bottom w:val="nil"/>
              <w:right w:val="nil"/>
            </w:tcBorders>
            <w:shd w:val="clear" w:color="000000" w:fill="FFFFFF"/>
            <w:vAlign w:val="center"/>
            <w:hideMark/>
          </w:tcPr>
          <w:p w14:paraId="61C6E46A"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262" w:type="dxa"/>
            <w:tcBorders>
              <w:top w:val="nil"/>
              <w:left w:val="single" w:sz="4" w:space="0" w:color="auto"/>
              <w:bottom w:val="single" w:sz="4" w:space="0" w:color="auto"/>
              <w:right w:val="single" w:sz="4" w:space="0" w:color="auto"/>
            </w:tcBorders>
            <w:shd w:val="clear" w:color="000000" w:fill="D9D9D9"/>
            <w:vAlign w:val="center"/>
            <w:hideMark/>
          </w:tcPr>
          <w:p w14:paraId="2635B3CA"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c>
          <w:tcPr>
            <w:tcW w:w="266" w:type="dxa"/>
            <w:tcBorders>
              <w:top w:val="nil"/>
              <w:left w:val="nil"/>
              <w:bottom w:val="nil"/>
              <w:right w:val="nil"/>
            </w:tcBorders>
            <w:shd w:val="clear" w:color="000000" w:fill="FFFFFF"/>
            <w:noWrap/>
            <w:vAlign w:val="bottom"/>
            <w:hideMark/>
          </w:tcPr>
          <w:p w14:paraId="753F1AD4"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262" w:type="dxa"/>
            <w:tcBorders>
              <w:top w:val="nil"/>
              <w:left w:val="single" w:sz="4" w:space="0" w:color="auto"/>
              <w:bottom w:val="single" w:sz="4" w:space="0" w:color="auto"/>
              <w:right w:val="single" w:sz="4" w:space="0" w:color="auto"/>
            </w:tcBorders>
            <w:shd w:val="clear" w:color="000000" w:fill="D9D9D9"/>
            <w:vAlign w:val="center"/>
            <w:hideMark/>
          </w:tcPr>
          <w:p w14:paraId="10F53E0A"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c>
          <w:tcPr>
            <w:tcW w:w="222" w:type="dxa"/>
            <w:tcBorders>
              <w:top w:val="nil"/>
              <w:left w:val="nil"/>
              <w:bottom w:val="nil"/>
              <w:right w:val="nil"/>
            </w:tcBorders>
            <w:shd w:val="clear" w:color="auto" w:fill="auto"/>
            <w:noWrap/>
            <w:vAlign w:val="bottom"/>
            <w:hideMark/>
          </w:tcPr>
          <w:p w14:paraId="2B59C566" w14:textId="77777777" w:rsidR="00662FED" w:rsidRPr="00977020" w:rsidRDefault="00662FED" w:rsidP="003067FE">
            <w:pPr>
              <w:shd w:val="clear" w:color="auto" w:fill="auto"/>
              <w:spacing w:after="0" w:line="240" w:lineRule="auto"/>
              <w:rPr>
                <w:color w:val="auto"/>
                <w:sz w:val="18"/>
                <w:szCs w:val="18"/>
                <w:lang w:val="es-ES_tradnl"/>
              </w:rPr>
            </w:pPr>
          </w:p>
        </w:tc>
        <w:tc>
          <w:tcPr>
            <w:tcW w:w="2242" w:type="dxa"/>
            <w:tcBorders>
              <w:top w:val="nil"/>
              <w:left w:val="single" w:sz="4" w:space="0" w:color="auto"/>
              <w:bottom w:val="single" w:sz="4" w:space="0" w:color="auto"/>
              <w:right w:val="single" w:sz="4" w:space="0" w:color="auto"/>
            </w:tcBorders>
            <w:shd w:val="clear" w:color="000000" w:fill="D9D9D9"/>
            <w:vAlign w:val="center"/>
            <w:hideMark/>
          </w:tcPr>
          <w:p w14:paraId="2DF6A3A3"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Eliminar beneficio fiscal</w:t>
            </w:r>
          </w:p>
        </w:tc>
      </w:tr>
      <w:tr w:rsidR="00977020" w:rsidRPr="00977020" w14:paraId="58AAD054" w14:textId="77777777" w:rsidTr="00662FED">
        <w:trPr>
          <w:trHeight w:val="946"/>
        </w:trPr>
        <w:tc>
          <w:tcPr>
            <w:tcW w:w="1524" w:type="dxa"/>
            <w:tcBorders>
              <w:top w:val="nil"/>
              <w:left w:val="single" w:sz="4" w:space="0" w:color="auto"/>
              <w:bottom w:val="single" w:sz="4" w:space="0" w:color="auto"/>
              <w:right w:val="single" w:sz="4" w:space="0" w:color="auto"/>
            </w:tcBorders>
            <w:shd w:val="clear" w:color="000000" w:fill="E2EFDA"/>
            <w:vAlign w:val="center"/>
            <w:hideMark/>
          </w:tcPr>
          <w:p w14:paraId="46831A67"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Impacto presupuestario estimado (millones de euros)</w:t>
            </w:r>
          </w:p>
        </w:tc>
        <w:tc>
          <w:tcPr>
            <w:tcW w:w="421" w:type="dxa"/>
            <w:tcBorders>
              <w:top w:val="nil"/>
              <w:left w:val="nil"/>
              <w:bottom w:val="nil"/>
              <w:right w:val="nil"/>
            </w:tcBorders>
            <w:shd w:val="clear" w:color="000000" w:fill="FFFFFF"/>
            <w:vAlign w:val="center"/>
            <w:hideMark/>
          </w:tcPr>
          <w:p w14:paraId="2E98AB13"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262" w:type="dxa"/>
            <w:tcBorders>
              <w:top w:val="nil"/>
              <w:left w:val="single" w:sz="4" w:space="0" w:color="auto"/>
              <w:bottom w:val="single" w:sz="4" w:space="0" w:color="auto"/>
              <w:right w:val="single" w:sz="4" w:space="0" w:color="auto"/>
            </w:tcBorders>
            <w:shd w:val="clear" w:color="000000" w:fill="E2EFDA"/>
            <w:vAlign w:val="center"/>
            <w:hideMark/>
          </w:tcPr>
          <w:p w14:paraId="31E7C095"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98,4</w:t>
            </w:r>
          </w:p>
        </w:tc>
        <w:tc>
          <w:tcPr>
            <w:tcW w:w="266" w:type="dxa"/>
            <w:tcBorders>
              <w:top w:val="nil"/>
              <w:left w:val="nil"/>
              <w:bottom w:val="nil"/>
              <w:right w:val="nil"/>
            </w:tcBorders>
            <w:shd w:val="clear" w:color="000000" w:fill="FFFFFF"/>
            <w:noWrap/>
            <w:vAlign w:val="bottom"/>
            <w:hideMark/>
          </w:tcPr>
          <w:p w14:paraId="22D3F550"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262" w:type="dxa"/>
            <w:tcBorders>
              <w:top w:val="nil"/>
              <w:left w:val="single" w:sz="4" w:space="0" w:color="auto"/>
              <w:bottom w:val="single" w:sz="4" w:space="0" w:color="auto"/>
              <w:right w:val="single" w:sz="4" w:space="0" w:color="auto"/>
            </w:tcBorders>
            <w:shd w:val="clear" w:color="000000" w:fill="E2EFDA"/>
            <w:vAlign w:val="center"/>
            <w:hideMark/>
          </w:tcPr>
          <w:p w14:paraId="3876C818"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25,7</w:t>
            </w:r>
          </w:p>
        </w:tc>
        <w:tc>
          <w:tcPr>
            <w:tcW w:w="222" w:type="dxa"/>
            <w:tcBorders>
              <w:top w:val="nil"/>
              <w:left w:val="nil"/>
              <w:bottom w:val="nil"/>
              <w:right w:val="nil"/>
            </w:tcBorders>
            <w:shd w:val="clear" w:color="auto" w:fill="auto"/>
            <w:noWrap/>
            <w:vAlign w:val="bottom"/>
            <w:hideMark/>
          </w:tcPr>
          <w:p w14:paraId="3FE705E1" w14:textId="77777777" w:rsidR="00662FED" w:rsidRPr="00977020" w:rsidRDefault="00662FED" w:rsidP="003067FE">
            <w:pPr>
              <w:shd w:val="clear" w:color="auto" w:fill="auto"/>
              <w:spacing w:after="0" w:line="240" w:lineRule="auto"/>
              <w:rPr>
                <w:b/>
                <w:bCs/>
                <w:color w:val="auto"/>
                <w:sz w:val="24"/>
                <w:szCs w:val="24"/>
                <w:lang w:val="es-ES_tradnl"/>
              </w:rPr>
            </w:pPr>
          </w:p>
        </w:tc>
        <w:tc>
          <w:tcPr>
            <w:tcW w:w="2242" w:type="dxa"/>
            <w:tcBorders>
              <w:top w:val="nil"/>
              <w:left w:val="single" w:sz="4" w:space="0" w:color="auto"/>
              <w:bottom w:val="single" w:sz="4" w:space="0" w:color="auto"/>
              <w:right w:val="single" w:sz="4" w:space="0" w:color="auto"/>
            </w:tcBorders>
            <w:shd w:val="clear" w:color="000000" w:fill="E2EFDA"/>
            <w:vAlign w:val="center"/>
            <w:hideMark/>
          </w:tcPr>
          <w:p w14:paraId="1CD95551"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19,0</w:t>
            </w:r>
          </w:p>
        </w:tc>
      </w:tr>
      <w:tr w:rsidR="00977020" w:rsidRPr="00977020" w14:paraId="2B2EF6CC" w14:textId="77777777" w:rsidTr="00662FED">
        <w:trPr>
          <w:trHeight w:val="581"/>
        </w:trPr>
        <w:tc>
          <w:tcPr>
            <w:tcW w:w="1524" w:type="dxa"/>
            <w:tcBorders>
              <w:top w:val="nil"/>
              <w:left w:val="single" w:sz="4" w:space="0" w:color="auto"/>
              <w:bottom w:val="single" w:sz="4" w:space="0" w:color="F4B084"/>
              <w:right w:val="single" w:sz="4" w:space="0" w:color="auto"/>
            </w:tcBorders>
            <w:shd w:val="clear" w:color="000000" w:fill="FCE4D6"/>
            <w:vAlign w:val="center"/>
            <w:hideMark/>
          </w:tcPr>
          <w:p w14:paraId="2C07006E" w14:textId="06830281" w:rsidR="00662FED" w:rsidRPr="00977020" w:rsidRDefault="00F5270A"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Número</w:t>
            </w:r>
            <w:r w:rsidR="00662FED" w:rsidRPr="00977020">
              <w:rPr>
                <w:color w:val="auto"/>
                <w:sz w:val="16"/>
                <w:szCs w:val="16"/>
                <w:lang w:val="es-ES_tradnl"/>
              </w:rPr>
              <w:t xml:space="preserve"> contribuyentes afectados (</w:t>
            </w:r>
            <w:r w:rsidRPr="00977020">
              <w:rPr>
                <w:color w:val="auto"/>
                <w:sz w:val="16"/>
                <w:szCs w:val="16"/>
                <w:lang w:val="es-ES_tradnl"/>
              </w:rPr>
              <w:t>estimación</w:t>
            </w:r>
            <w:r w:rsidR="00662FED" w:rsidRPr="00977020">
              <w:rPr>
                <w:color w:val="auto"/>
                <w:sz w:val="16"/>
                <w:szCs w:val="16"/>
                <w:lang w:val="es-ES_tradnl"/>
              </w:rPr>
              <w:t>)</w:t>
            </w:r>
          </w:p>
        </w:tc>
        <w:tc>
          <w:tcPr>
            <w:tcW w:w="421" w:type="dxa"/>
            <w:tcBorders>
              <w:top w:val="nil"/>
              <w:left w:val="nil"/>
              <w:bottom w:val="nil"/>
              <w:right w:val="nil"/>
            </w:tcBorders>
            <w:shd w:val="clear" w:color="000000" w:fill="FFFFFF"/>
            <w:vAlign w:val="center"/>
            <w:hideMark/>
          </w:tcPr>
          <w:p w14:paraId="23A8549A"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262" w:type="dxa"/>
            <w:tcBorders>
              <w:top w:val="nil"/>
              <w:left w:val="single" w:sz="4" w:space="0" w:color="auto"/>
              <w:bottom w:val="single" w:sz="4" w:space="0" w:color="F4B084"/>
              <w:right w:val="single" w:sz="4" w:space="0" w:color="auto"/>
            </w:tcBorders>
            <w:shd w:val="clear" w:color="000000" w:fill="FCE4D6"/>
            <w:vAlign w:val="center"/>
            <w:hideMark/>
          </w:tcPr>
          <w:p w14:paraId="0BC26D38"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247.141</w:t>
            </w:r>
          </w:p>
        </w:tc>
        <w:tc>
          <w:tcPr>
            <w:tcW w:w="266" w:type="dxa"/>
            <w:tcBorders>
              <w:top w:val="nil"/>
              <w:left w:val="nil"/>
              <w:bottom w:val="nil"/>
              <w:right w:val="nil"/>
            </w:tcBorders>
            <w:shd w:val="clear" w:color="000000" w:fill="FFFFFF"/>
            <w:noWrap/>
            <w:vAlign w:val="bottom"/>
            <w:hideMark/>
          </w:tcPr>
          <w:p w14:paraId="3CE4A595"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262" w:type="dxa"/>
            <w:tcBorders>
              <w:top w:val="nil"/>
              <w:left w:val="single" w:sz="4" w:space="0" w:color="auto"/>
              <w:bottom w:val="single" w:sz="4" w:space="0" w:color="F4B084"/>
              <w:right w:val="single" w:sz="4" w:space="0" w:color="auto"/>
            </w:tcBorders>
            <w:shd w:val="clear" w:color="000000" w:fill="FCE4D6"/>
            <w:vAlign w:val="center"/>
            <w:hideMark/>
          </w:tcPr>
          <w:p w14:paraId="2AB10D5D"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12.896</w:t>
            </w:r>
          </w:p>
        </w:tc>
        <w:tc>
          <w:tcPr>
            <w:tcW w:w="222" w:type="dxa"/>
            <w:tcBorders>
              <w:top w:val="nil"/>
              <w:left w:val="nil"/>
              <w:bottom w:val="nil"/>
              <w:right w:val="nil"/>
            </w:tcBorders>
            <w:shd w:val="clear" w:color="auto" w:fill="auto"/>
            <w:noWrap/>
            <w:vAlign w:val="bottom"/>
            <w:hideMark/>
          </w:tcPr>
          <w:p w14:paraId="655A6028" w14:textId="77777777" w:rsidR="00662FED" w:rsidRPr="00977020" w:rsidRDefault="00662FED" w:rsidP="003067FE">
            <w:pPr>
              <w:shd w:val="clear" w:color="auto" w:fill="auto"/>
              <w:spacing w:after="0" w:line="240" w:lineRule="auto"/>
              <w:rPr>
                <w:color w:val="auto"/>
                <w:sz w:val="20"/>
                <w:szCs w:val="20"/>
                <w:lang w:val="es-ES_tradnl"/>
              </w:rPr>
            </w:pPr>
          </w:p>
        </w:tc>
        <w:tc>
          <w:tcPr>
            <w:tcW w:w="2242" w:type="dxa"/>
            <w:tcBorders>
              <w:top w:val="nil"/>
              <w:left w:val="single" w:sz="4" w:space="0" w:color="auto"/>
              <w:bottom w:val="single" w:sz="4" w:space="0" w:color="F4B084"/>
              <w:right w:val="single" w:sz="4" w:space="0" w:color="auto"/>
            </w:tcBorders>
            <w:shd w:val="clear" w:color="000000" w:fill="FCE4D6"/>
            <w:vAlign w:val="center"/>
            <w:hideMark/>
          </w:tcPr>
          <w:p w14:paraId="5727C149"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59.905</w:t>
            </w:r>
          </w:p>
        </w:tc>
      </w:tr>
      <w:tr w:rsidR="00977020" w:rsidRPr="00977020" w14:paraId="5AC91FD6" w14:textId="77777777" w:rsidTr="00662FED">
        <w:trPr>
          <w:trHeight w:val="581"/>
        </w:trPr>
        <w:tc>
          <w:tcPr>
            <w:tcW w:w="1524" w:type="dxa"/>
            <w:tcBorders>
              <w:top w:val="nil"/>
              <w:left w:val="single" w:sz="4" w:space="0" w:color="auto"/>
              <w:bottom w:val="single" w:sz="4" w:space="0" w:color="auto"/>
              <w:right w:val="single" w:sz="4" w:space="0" w:color="auto"/>
            </w:tcBorders>
            <w:shd w:val="clear" w:color="000000" w:fill="FCE4D6"/>
            <w:vAlign w:val="center"/>
            <w:hideMark/>
          </w:tcPr>
          <w:p w14:paraId="43BEAB74"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Importe por contribuyente afectado (€)</w:t>
            </w:r>
          </w:p>
        </w:tc>
        <w:tc>
          <w:tcPr>
            <w:tcW w:w="421" w:type="dxa"/>
            <w:tcBorders>
              <w:top w:val="nil"/>
              <w:left w:val="nil"/>
              <w:bottom w:val="nil"/>
              <w:right w:val="nil"/>
            </w:tcBorders>
            <w:shd w:val="clear" w:color="000000" w:fill="FFFFFF"/>
            <w:vAlign w:val="center"/>
            <w:hideMark/>
          </w:tcPr>
          <w:p w14:paraId="04C45597"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262" w:type="dxa"/>
            <w:tcBorders>
              <w:top w:val="nil"/>
              <w:left w:val="single" w:sz="4" w:space="0" w:color="auto"/>
              <w:bottom w:val="single" w:sz="4" w:space="0" w:color="auto"/>
              <w:right w:val="single" w:sz="4" w:space="0" w:color="auto"/>
            </w:tcBorders>
            <w:shd w:val="clear" w:color="000000" w:fill="FCE4D6"/>
            <w:vAlign w:val="center"/>
            <w:hideMark/>
          </w:tcPr>
          <w:p w14:paraId="7B142A2A"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398 </w:t>
            </w:r>
          </w:p>
        </w:tc>
        <w:tc>
          <w:tcPr>
            <w:tcW w:w="266" w:type="dxa"/>
            <w:tcBorders>
              <w:top w:val="nil"/>
              <w:left w:val="nil"/>
              <w:bottom w:val="nil"/>
              <w:right w:val="nil"/>
            </w:tcBorders>
            <w:shd w:val="clear" w:color="000000" w:fill="FFFFFF"/>
            <w:noWrap/>
            <w:vAlign w:val="bottom"/>
            <w:hideMark/>
          </w:tcPr>
          <w:p w14:paraId="4FA282D2"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262" w:type="dxa"/>
            <w:tcBorders>
              <w:top w:val="nil"/>
              <w:left w:val="single" w:sz="4" w:space="0" w:color="auto"/>
              <w:bottom w:val="single" w:sz="4" w:space="0" w:color="auto"/>
              <w:right w:val="single" w:sz="4" w:space="0" w:color="auto"/>
            </w:tcBorders>
            <w:shd w:val="clear" w:color="000000" w:fill="FCE4D6"/>
            <w:vAlign w:val="center"/>
            <w:hideMark/>
          </w:tcPr>
          <w:p w14:paraId="28818BFB"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1.994 </w:t>
            </w:r>
          </w:p>
        </w:tc>
        <w:tc>
          <w:tcPr>
            <w:tcW w:w="222" w:type="dxa"/>
            <w:tcBorders>
              <w:top w:val="nil"/>
              <w:left w:val="nil"/>
              <w:bottom w:val="nil"/>
              <w:right w:val="nil"/>
            </w:tcBorders>
            <w:shd w:val="clear" w:color="auto" w:fill="auto"/>
            <w:noWrap/>
            <w:vAlign w:val="bottom"/>
            <w:hideMark/>
          </w:tcPr>
          <w:p w14:paraId="0CE3DFEC" w14:textId="77777777" w:rsidR="00662FED" w:rsidRPr="00977020" w:rsidRDefault="00662FED" w:rsidP="003067FE">
            <w:pPr>
              <w:shd w:val="clear" w:color="auto" w:fill="auto"/>
              <w:spacing w:after="0" w:line="240" w:lineRule="auto"/>
              <w:rPr>
                <w:color w:val="auto"/>
                <w:sz w:val="20"/>
                <w:szCs w:val="20"/>
                <w:lang w:val="es-ES_tradnl"/>
              </w:rPr>
            </w:pPr>
          </w:p>
        </w:tc>
        <w:tc>
          <w:tcPr>
            <w:tcW w:w="2242" w:type="dxa"/>
            <w:tcBorders>
              <w:top w:val="nil"/>
              <w:left w:val="single" w:sz="4" w:space="0" w:color="auto"/>
              <w:bottom w:val="single" w:sz="4" w:space="0" w:color="auto"/>
              <w:right w:val="single" w:sz="4" w:space="0" w:color="auto"/>
            </w:tcBorders>
            <w:shd w:val="clear" w:color="000000" w:fill="FCE4D6"/>
            <w:vAlign w:val="center"/>
            <w:hideMark/>
          </w:tcPr>
          <w:p w14:paraId="1D121C01"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317 </w:t>
            </w:r>
          </w:p>
        </w:tc>
      </w:tr>
    </w:tbl>
    <w:p w14:paraId="6EFC1874" w14:textId="0C9CBB97" w:rsidR="00CC490C" w:rsidRPr="00977020" w:rsidRDefault="00662FED" w:rsidP="003067FE">
      <w:pPr>
        <w:shd w:val="clear" w:color="auto" w:fill="auto"/>
        <w:spacing w:before="120" w:afterLines="100" w:after="240" w:line="276" w:lineRule="auto"/>
        <w:rPr>
          <w:rFonts w:asciiTheme="minorHAnsi" w:hAnsiTheme="minorHAnsi" w:cstheme="minorHAnsi"/>
          <w:color w:val="auto"/>
          <w:lang w:val="es-ES_tradnl"/>
        </w:rPr>
      </w:pPr>
      <w:r w:rsidRPr="00977020">
        <w:rPr>
          <w:rFonts w:asciiTheme="minorHAnsi" w:hAnsiTheme="minorHAnsi" w:cstheme="minorHAnsi"/>
          <w:color w:val="auto"/>
          <w:sz w:val="16"/>
          <w:szCs w:val="16"/>
          <w:lang w:val="es-ES_tradnl"/>
        </w:rPr>
        <w:t>*</w:t>
      </w:r>
      <w:proofErr w:type="spellStart"/>
      <w:r w:rsidRPr="00977020">
        <w:rPr>
          <w:rFonts w:asciiTheme="minorHAnsi" w:hAnsiTheme="minorHAnsi" w:cstheme="minorHAnsi"/>
          <w:color w:val="auto"/>
          <w:sz w:val="16"/>
          <w:szCs w:val="16"/>
          <w:lang w:val="es-ES_tradnl"/>
        </w:rPr>
        <w:t>Deducció</w:t>
      </w:r>
      <w:proofErr w:type="spellEnd"/>
      <w:r w:rsidRPr="00977020">
        <w:rPr>
          <w:rFonts w:asciiTheme="minorHAnsi" w:hAnsiTheme="minorHAnsi" w:cstheme="minorHAnsi"/>
          <w:color w:val="auto"/>
          <w:sz w:val="16"/>
          <w:szCs w:val="16"/>
          <w:lang w:val="es-ES_tradnl"/>
        </w:rPr>
        <w:t xml:space="preserve"> en la cuota íntegra autonómica del 10% sobre las cantidades satisfechas en concepto de alquiler de la vivienda habitual con el límite máximo de 300€ anuales (600€ anuales en el caso de tributación individual de familias numerosas o tributación conjunta). Para disfrutar de esta deducción, se tienen que cumplir una serie de requisitos establecidos a la ley: tener 32 años o menos; haber estado en el paro 183 días o más; grado de discapacidad &gt;65%; o ser viudo o viuda y tener 65 años o más</w:t>
      </w:r>
    </w:p>
    <w:p w14:paraId="3D36BD87" w14:textId="6772B24A" w:rsidR="00402FA0" w:rsidRPr="00977020" w:rsidRDefault="00402FA0" w:rsidP="003067FE">
      <w:pPr>
        <w:shd w:val="clear" w:color="auto" w:fill="auto"/>
        <w:spacing w:before="120" w:afterLines="100" w:after="240" w:line="276" w:lineRule="auto"/>
        <w:rPr>
          <w:rFonts w:asciiTheme="minorHAnsi" w:hAnsiTheme="minorHAnsi" w:cstheme="minorHAnsi"/>
          <w:color w:val="auto"/>
          <w:lang w:val="es-ES_tradnl"/>
        </w:rPr>
      </w:pPr>
    </w:p>
    <w:p w14:paraId="362EB326" w14:textId="34BA357B"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66A270DF" w14:textId="08D5CDA4"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0D3EB8DD" w14:textId="639DA6F6"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321B13AB" w14:textId="66DA799F"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6678AEE3" w14:textId="1D532245"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19567DDF" w14:textId="7DEBAFC9"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55C3A675" w14:textId="2E750D65"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5B8F9622" w14:textId="77777777" w:rsidR="00257B23" w:rsidRPr="00977020" w:rsidRDefault="00257B23" w:rsidP="003067FE">
      <w:pPr>
        <w:shd w:val="clear" w:color="auto" w:fill="auto"/>
        <w:spacing w:before="120" w:afterLines="100" w:after="240" w:line="276" w:lineRule="auto"/>
        <w:rPr>
          <w:rFonts w:asciiTheme="minorHAnsi" w:hAnsiTheme="minorHAnsi" w:cstheme="minorHAnsi"/>
          <w:color w:val="auto"/>
          <w:lang w:val="es-ES_tradnl"/>
        </w:rPr>
      </w:pPr>
    </w:p>
    <w:p w14:paraId="09133844" w14:textId="77777777" w:rsidR="00662FED" w:rsidRPr="00977020" w:rsidRDefault="00662FED" w:rsidP="003067FE">
      <w:pPr>
        <w:spacing w:before="120" w:after="120"/>
        <w:ind w:firstLine="3"/>
        <w:rPr>
          <w:rFonts w:asciiTheme="minorHAnsi" w:hAnsiTheme="minorHAnsi" w:cstheme="minorHAnsi"/>
          <w:color w:val="auto"/>
          <w:sz w:val="20"/>
          <w:lang w:val="es-ES_tradnl"/>
        </w:rPr>
      </w:pPr>
      <w:r w:rsidRPr="00977020">
        <w:rPr>
          <w:rFonts w:asciiTheme="minorHAnsi" w:hAnsiTheme="minorHAnsi" w:cstheme="minorHAnsi"/>
          <w:color w:val="auto"/>
          <w:sz w:val="20"/>
          <w:lang w:val="es-ES_tradnl"/>
        </w:rPr>
        <w:t xml:space="preserve">- </w:t>
      </w:r>
      <w:r w:rsidRPr="00977020">
        <w:rPr>
          <w:rFonts w:asciiTheme="minorHAnsi" w:hAnsiTheme="minorHAnsi" w:cstheme="minorHAnsi"/>
          <w:color w:val="auto"/>
          <w:sz w:val="20"/>
          <w:u w:val="single"/>
          <w:lang w:val="es-ES_tradnl"/>
        </w:rPr>
        <w:t>Impuesto sobre sucesiones y donaciones (ISD) e Impuesto sobre el patrimonio (IP):</w:t>
      </w:r>
    </w:p>
    <w:tbl>
      <w:tblPr>
        <w:tblW w:w="9444" w:type="dxa"/>
        <w:tblInd w:w="-5" w:type="dxa"/>
        <w:tblLook w:val="04A0" w:firstRow="1" w:lastRow="0" w:firstColumn="1" w:lastColumn="0" w:noHBand="0" w:noVBand="1"/>
      </w:tblPr>
      <w:tblGrid>
        <w:gridCol w:w="1275"/>
        <w:gridCol w:w="422"/>
        <w:gridCol w:w="1756"/>
        <w:gridCol w:w="267"/>
        <w:gridCol w:w="1777"/>
        <w:gridCol w:w="222"/>
        <w:gridCol w:w="1751"/>
        <w:gridCol w:w="222"/>
        <w:gridCol w:w="1752"/>
      </w:tblGrid>
      <w:tr w:rsidR="00977020" w:rsidRPr="00977020" w14:paraId="24C3BD27" w14:textId="77777777" w:rsidTr="0016248E">
        <w:trPr>
          <w:trHeight w:val="251"/>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DB4E" w14:textId="7A82F038" w:rsidR="00662FED" w:rsidRPr="00977020" w:rsidRDefault="004029BB"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Número medida</w:t>
            </w:r>
          </w:p>
        </w:tc>
        <w:tc>
          <w:tcPr>
            <w:tcW w:w="422" w:type="dxa"/>
            <w:tcBorders>
              <w:top w:val="nil"/>
              <w:left w:val="nil"/>
              <w:bottom w:val="nil"/>
              <w:right w:val="nil"/>
            </w:tcBorders>
            <w:shd w:val="clear" w:color="000000" w:fill="FFFFFF"/>
            <w:vAlign w:val="center"/>
            <w:hideMark/>
          </w:tcPr>
          <w:p w14:paraId="54E00AA3"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4FE1C"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4</w:t>
            </w:r>
          </w:p>
        </w:tc>
        <w:tc>
          <w:tcPr>
            <w:tcW w:w="267" w:type="dxa"/>
            <w:tcBorders>
              <w:top w:val="nil"/>
              <w:left w:val="nil"/>
              <w:bottom w:val="nil"/>
              <w:right w:val="nil"/>
            </w:tcBorders>
            <w:shd w:val="clear" w:color="000000" w:fill="FFFFFF"/>
            <w:noWrap/>
            <w:vAlign w:val="bottom"/>
            <w:hideMark/>
          </w:tcPr>
          <w:p w14:paraId="04954B6C"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B1A24"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5</w:t>
            </w:r>
          </w:p>
        </w:tc>
        <w:tc>
          <w:tcPr>
            <w:tcW w:w="222" w:type="dxa"/>
            <w:tcBorders>
              <w:top w:val="nil"/>
              <w:left w:val="nil"/>
              <w:bottom w:val="nil"/>
              <w:right w:val="nil"/>
            </w:tcBorders>
            <w:shd w:val="clear" w:color="auto" w:fill="auto"/>
            <w:noWrap/>
            <w:vAlign w:val="bottom"/>
            <w:hideMark/>
          </w:tcPr>
          <w:p w14:paraId="03A6C1DB" w14:textId="77777777" w:rsidR="00662FED" w:rsidRPr="00977020" w:rsidRDefault="00662FED" w:rsidP="003067FE">
            <w:pPr>
              <w:shd w:val="clear" w:color="auto" w:fill="auto"/>
              <w:spacing w:after="0" w:line="240" w:lineRule="auto"/>
              <w:rPr>
                <w:b/>
                <w:bCs/>
                <w:color w:val="auto"/>
                <w:sz w:val="18"/>
                <w:szCs w:val="18"/>
                <w:lang w:val="es-ES_tradnl"/>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9BE4"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6</w:t>
            </w:r>
          </w:p>
        </w:tc>
        <w:tc>
          <w:tcPr>
            <w:tcW w:w="222" w:type="dxa"/>
            <w:tcBorders>
              <w:top w:val="nil"/>
              <w:left w:val="nil"/>
              <w:bottom w:val="nil"/>
              <w:right w:val="nil"/>
            </w:tcBorders>
            <w:shd w:val="clear" w:color="auto" w:fill="auto"/>
            <w:noWrap/>
            <w:vAlign w:val="bottom"/>
            <w:hideMark/>
          </w:tcPr>
          <w:p w14:paraId="34D44F8C" w14:textId="77777777" w:rsidR="00662FED" w:rsidRPr="00977020" w:rsidRDefault="00662FED" w:rsidP="003067FE">
            <w:pPr>
              <w:shd w:val="clear" w:color="auto" w:fill="auto"/>
              <w:spacing w:after="0" w:line="240" w:lineRule="auto"/>
              <w:rPr>
                <w:b/>
                <w:bCs/>
                <w:color w:val="auto"/>
                <w:sz w:val="18"/>
                <w:szCs w:val="18"/>
                <w:lang w:val="es-ES_tradnl"/>
              </w:rPr>
            </w:pP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C7FE8"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7</w:t>
            </w:r>
          </w:p>
        </w:tc>
      </w:tr>
      <w:tr w:rsidR="00977020" w:rsidRPr="00977020" w14:paraId="07D1060B" w14:textId="77777777" w:rsidTr="00257B23">
        <w:trPr>
          <w:trHeight w:val="399"/>
        </w:trPr>
        <w:tc>
          <w:tcPr>
            <w:tcW w:w="1223" w:type="dxa"/>
            <w:tcBorders>
              <w:top w:val="nil"/>
              <w:left w:val="single" w:sz="4" w:space="0" w:color="auto"/>
              <w:bottom w:val="single" w:sz="4" w:space="0" w:color="auto"/>
              <w:right w:val="single" w:sz="4" w:space="0" w:color="auto"/>
            </w:tcBorders>
            <w:shd w:val="clear" w:color="000000" w:fill="FFE699"/>
            <w:vAlign w:val="center"/>
            <w:hideMark/>
          </w:tcPr>
          <w:p w14:paraId="043C3ACB" w14:textId="158F9D8F"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Impuesto</w:t>
            </w:r>
          </w:p>
        </w:tc>
        <w:tc>
          <w:tcPr>
            <w:tcW w:w="422" w:type="dxa"/>
            <w:tcBorders>
              <w:top w:val="nil"/>
              <w:left w:val="nil"/>
              <w:bottom w:val="nil"/>
              <w:right w:val="nil"/>
            </w:tcBorders>
            <w:shd w:val="clear" w:color="000000" w:fill="FFFFFF"/>
            <w:vAlign w:val="center"/>
            <w:hideMark/>
          </w:tcPr>
          <w:p w14:paraId="15A82503"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1770" w:type="dxa"/>
            <w:tcBorders>
              <w:top w:val="nil"/>
              <w:left w:val="single" w:sz="4" w:space="0" w:color="auto"/>
              <w:bottom w:val="single" w:sz="4" w:space="0" w:color="auto"/>
              <w:right w:val="single" w:sz="4" w:space="0" w:color="auto"/>
            </w:tcBorders>
            <w:shd w:val="clear" w:color="000000" w:fill="FFE699"/>
            <w:vAlign w:val="center"/>
            <w:hideMark/>
          </w:tcPr>
          <w:p w14:paraId="6EA09E75"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Impuesto sobre Sucesiones y Donaciones</w:t>
            </w:r>
          </w:p>
        </w:tc>
        <w:tc>
          <w:tcPr>
            <w:tcW w:w="267" w:type="dxa"/>
            <w:tcBorders>
              <w:top w:val="nil"/>
              <w:left w:val="nil"/>
              <w:bottom w:val="nil"/>
              <w:right w:val="nil"/>
            </w:tcBorders>
            <w:shd w:val="clear" w:color="000000" w:fill="FFFFFF"/>
            <w:noWrap/>
            <w:vAlign w:val="bottom"/>
            <w:hideMark/>
          </w:tcPr>
          <w:p w14:paraId="22EBDB74" w14:textId="77777777" w:rsidR="00662FED" w:rsidRPr="00977020" w:rsidRDefault="00662FED" w:rsidP="003067FE">
            <w:pPr>
              <w:shd w:val="clear" w:color="auto" w:fill="auto"/>
              <w:spacing w:after="0" w:line="240" w:lineRule="auto"/>
              <w:rPr>
                <w:rFonts w:ascii="Calibri" w:hAnsi="Calibri" w:cs="Calibri"/>
                <w:color w:val="auto"/>
                <w:sz w:val="16"/>
                <w:szCs w:val="16"/>
                <w:lang w:val="es-ES_tradnl"/>
              </w:rPr>
            </w:pPr>
            <w:r w:rsidRPr="00977020">
              <w:rPr>
                <w:rFonts w:ascii="Calibri" w:hAnsi="Calibri" w:cs="Calibri"/>
                <w:color w:val="auto"/>
                <w:sz w:val="16"/>
                <w:szCs w:val="16"/>
                <w:lang w:val="es-ES_tradnl"/>
              </w:rPr>
              <w:t> </w:t>
            </w:r>
          </w:p>
        </w:tc>
        <w:tc>
          <w:tcPr>
            <w:tcW w:w="1790" w:type="dxa"/>
            <w:tcBorders>
              <w:top w:val="nil"/>
              <w:left w:val="single" w:sz="4" w:space="0" w:color="auto"/>
              <w:bottom w:val="single" w:sz="4" w:space="0" w:color="auto"/>
              <w:right w:val="single" w:sz="4" w:space="0" w:color="auto"/>
            </w:tcBorders>
            <w:shd w:val="clear" w:color="000000" w:fill="FFE699"/>
            <w:vAlign w:val="center"/>
            <w:hideMark/>
          </w:tcPr>
          <w:p w14:paraId="4D4EA8D0"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Impuesto sobre Sucesiones y Donaciones</w:t>
            </w:r>
          </w:p>
        </w:tc>
        <w:tc>
          <w:tcPr>
            <w:tcW w:w="222" w:type="dxa"/>
            <w:tcBorders>
              <w:top w:val="nil"/>
              <w:left w:val="nil"/>
              <w:bottom w:val="nil"/>
              <w:right w:val="nil"/>
            </w:tcBorders>
            <w:shd w:val="clear" w:color="auto" w:fill="auto"/>
            <w:noWrap/>
            <w:vAlign w:val="bottom"/>
            <w:hideMark/>
          </w:tcPr>
          <w:p w14:paraId="5DAF0BD4" w14:textId="77777777" w:rsidR="00662FED" w:rsidRPr="00977020" w:rsidRDefault="00662FED" w:rsidP="003067FE">
            <w:pPr>
              <w:shd w:val="clear" w:color="auto" w:fill="auto"/>
              <w:spacing w:after="0" w:line="240" w:lineRule="auto"/>
              <w:rPr>
                <w:b/>
                <w:bCs/>
                <w:color w:val="auto"/>
                <w:sz w:val="16"/>
                <w:szCs w:val="16"/>
                <w:lang w:val="es-ES_tradnl"/>
              </w:rPr>
            </w:pPr>
          </w:p>
        </w:tc>
        <w:tc>
          <w:tcPr>
            <w:tcW w:w="1764" w:type="dxa"/>
            <w:tcBorders>
              <w:top w:val="nil"/>
              <w:left w:val="single" w:sz="4" w:space="0" w:color="auto"/>
              <w:bottom w:val="single" w:sz="4" w:space="0" w:color="auto"/>
              <w:right w:val="single" w:sz="4" w:space="0" w:color="auto"/>
            </w:tcBorders>
            <w:shd w:val="clear" w:color="000000" w:fill="FFE699"/>
            <w:vAlign w:val="center"/>
            <w:hideMark/>
          </w:tcPr>
          <w:p w14:paraId="1F659CCF"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Impuesto sobre Sucesiones y Donaciones</w:t>
            </w:r>
          </w:p>
        </w:tc>
        <w:tc>
          <w:tcPr>
            <w:tcW w:w="222" w:type="dxa"/>
            <w:tcBorders>
              <w:top w:val="nil"/>
              <w:left w:val="nil"/>
              <w:bottom w:val="nil"/>
              <w:right w:val="nil"/>
            </w:tcBorders>
            <w:shd w:val="clear" w:color="auto" w:fill="auto"/>
            <w:noWrap/>
            <w:vAlign w:val="bottom"/>
            <w:hideMark/>
          </w:tcPr>
          <w:p w14:paraId="183D6E0B" w14:textId="77777777" w:rsidR="00662FED" w:rsidRPr="00977020" w:rsidRDefault="00662FED" w:rsidP="003067FE">
            <w:pPr>
              <w:shd w:val="clear" w:color="auto" w:fill="auto"/>
              <w:spacing w:after="0" w:line="240" w:lineRule="auto"/>
              <w:rPr>
                <w:b/>
                <w:bCs/>
                <w:color w:val="auto"/>
                <w:sz w:val="16"/>
                <w:szCs w:val="16"/>
                <w:lang w:val="es-ES_tradnl"/>
              </w:rPr>
            </w:pPr>
          </w:p>
        </w:tc>
        <w:tc>
          <w:tcPr>
            <w:tcW w:w="1764" w:type="dxa"/>
            <w:tcBorders>
              <w:top w:val="nil"/>
              <w:left w:val="single" w:sz="4" w:space="0" w:color="auto"/>
              <w:bottom w:val="single" w:sz="4" w:space="0" w:color="auto"/>
              <w:right w:val="single" w:sz="4" w:space="0" w:color="auto"/>
            </w:tcBorders>
            <w:shd w:val="clear" w:color="000000" w:fill="FFE699"/>
            <w:vAlign w:val="center"/>
            <w:hideMark/>
          </w:tcPr>
          <w:p w14:paraId="07B3625C"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Impuesto sobre el Patrimonio</w:t>
            </w:r>
          </w:p>
        </w:tc>
      </w:tr>
      <w:tr w:rsidR="00977020" w:rsidRPr="00977020" w14:paraId="16F1D727" w14:textId="77777777" w:rsidTr="00257B23">
        <w:trPr>
          <w:trHeight w:val="801"/>
        </w:trPr>
        <w:tc>
          <w:tcPr>
            <w:tcW w:w="1223" w:type="dxa"/>
            <w:tcBorders>
              <w:top w:val="nil"/>
              <w:left w:val="single" w:sz="4" w:space="0" w:color="auto"/>
              <w:bottom w:val="single" w:sz="4" w:space="0" w:color="auto"/>
              <w:right w:val="single" w:sz="4" w:space="0" w:color="auto"/>
            </w:tcBorders>
            <w:shd w:val="clear" w:color="000000" w:fill="FFE699"/>
            <w:vAlign w:val="center"/>
            <w:hideMark/>
          </w:tcPr>
          <w:p w14:paraId="78E18452"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Medida</w:t>
            </w:r>
          </w:p>
        </w:tc>
        <w:tc>
          <w:tcPr>
            <w:tcW w:w="422" w:type="dxa"/>
            <w:tcBorders>
              <w:top w:val="nil"/>
              <w:left w:val="nil"/>
              <w:bottom w:val="nil"/>
              <w:right w:val="nil"/>
            </w:tcBorders>
            <w:shd w:val="clear" w:color="000000" w:fill="FFFFFF"/>
            <w:vAlign w:val="center"/>
            <w:hideMark/>
          </w:tcPr>
          <w:p w14:paraId="7E9E440F"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1770" w:type="dxa"/>
            <w:tcBorders>
              <w:top w:val="nil"/>
              <w:left w:val="single" w:sz="4" w:space="0" w:color="auto"/>
              <w:bottom w:val="single" w:sz="4" w:space="0" w:color="auto"/>
              <w:right w:val="single" w:sz="4" w:space="0" w:color="auto"/>
            </w:tcBorders>
            <w:shd w:val="clear" w:color="000000" w:fill="FFE699"/>
            <w:vAlign w:val="center"/>
            <w:hideMark/>
          </w:tcPr>
          <w:p w14:paraId="18A5E079" w14:textId="011CB32D" w:rsidR="00662FED" w:rsidRPr="00977020" w:rsidRDefault="004029BB"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Sucesiones</w:t>
            </w:r>
            <w:r w:rsidR="00662FED" w:rsidRPr="00977020">
              <w:rPr>
                <w:b/>
                <w:bCs/>
                <w:color w:val="auto"/>
                <w:sz w:val="18"/>
                <w:szCs w:val="18"/>
                <w:lang w:val="es-ES_tradnl"/>
              </w:rPr>
              <w:t xml:space="preserve">: Incrementar 1 punto porcentual los tipos de </w:t>
            </w:r>
            <w:r w:rsidR="00662FED" w:rsidRPr="00977020">
              <w:rPr>
                <w:b/>
                <w:bCs/>
                <w:color w:val="auto"/>
                <w:sz w:val="18"/>
                <w:szCs w:val="18"/>
                <w:u w:val="single"/>
                <w:lang w:val="es-ES_tradnl"/>
              </w:rPr>
              <w:t>todos los tramos</w:t>
            </w:r>
            <w:r w:rsidR="00662FED" w:rsidRPr="00977020">
              <w:rPr>
                <w:b/>
                <w:bCs/>
                <w:color w:val="auto"/>
                <w:sz w:val="18"/>
                <w:szCs w:val="18"/>
                <w:lang w:val="es-ES_tradnl"/>
              </w:rPr>
              <w:t xml:space="preserve"> de todos los grupos de parentesco</w:t>
            </w:r>
          </w:p>
        </w:tc>
        <w:tc>
          <w:tcPr>
            <w:tcW w:w="267" w:type="dxa"/>
            <w:tcBorders>
              <w:top w:val="nil"/>
              <w:left w:val="nil"/>
              <w:bottom w:val="nil"/>
              <w:right w:val="nil"/>
            </w:tcBorders>
            <w:shd w:val="clear" w:color="000000" w:fill="FFFFFF"/>
            <w:noWrap/>
            <w:vAlign w:val="bottom"/>
            <w:hideMark/>
          </w:tcPr>
          <w:p w14:paraId="2EA14086"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1790" w:type="dxa"/>
            <w:tcBorders>
              <w:top w:val="nil"/>
              <w:left w:val="single" w:sz="4" w:space="0" w:color="auto"/>
              <w:bottom w:val="single" w:sz="4" w:space="0" w:color="auto"/>
              <w:right w:val="single" w:sz="4" w:space="0" w:color="auto"/>
            </w:tcBorders>
            <w:shd w:val="clear" w:color="000000" w:fill="FFE699"/>
            <w:vAlign w:val="center"/>
            <w:hideMark/>
          </w:tcPr>
          <w:p w14:paraId="7B3521DA" w14:textId="7226B229"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 xml:space="preserve">Sucesiones: Aumentar 3 puntos </w:t>
            </w:r>
            <w:r w:rsidR="004029BB" w:rsidRPr="00977020">
              <w:rPr>
                <w:b/>
                <w:bCs/>
                <w:color w:val="auto"/>
                <w:sz w:val="18"/>
                <w:szCs w:val="18"/>
                <w:lang w:val="es-ES_tradnl"/>
              </w:rPr>
              <w:t xml:space="preserve">porcentuales </w:t>
            </w:r>
            <w:r w:rsidRPr="00977020">
              <w:rPr>
                <w:b/>
                <w:bCs/>
                <w:color w:val="auto"/>
                <w:sz w:val="18"/>
                <w:szCs w:val="18"/>
                <w:lang w:val="es-ES_tradnl"/>
              </w:rPr>
              <w:t xml:space="preserve">tipo del </w:t>
            </w:r>
            <w:r w:rsidRPr="00977020">
              <w:rPr>
                <w:b/>
                <w:bCs/>
                <w:color w:val="auto"/>
                <w:sz w:val="18"/>
                <w:szCs w:val="18"/>
                <w:u w:val="single"/>
                <w:lang w:val="es-ES_tradnl"/>
              </w:rPr>
              <w:t>último tramo</w:t>
            </w:r>
            <w:r w:rsidRPr="00977020">
              <w:rPr>
                <w:b/>
                <w:bCs/>
                <w:color w:val="auto"/>
                <w:sz w:val="18"/>
                <w:szCs w:val="18"/>
                <w:lang w:val="es-ES_tradnl"/>
              </w:rPr>
              <w:t xml:space="preserve"> de la tarifa de todos los grupos de parentesco</w:t>
            </w:r>
          </w:p>
        </w:tc>
        <w:tc>
          <w:tcPr>
            <w:tcW w:w="222" w:type="dxa"/>
            <w:tcBorders>
              <w:top w:val="nil"/>
              <w:left w:val="nil"/>
              <w:bottom w:val="nil"/>
              <w:right w:val="nil"/>
            </w:tcBorders>
            <w:shd w:val="clear" w:color="auto" w:fill="auto"/>
            <w:noWrap/>
            <w:vAlign w:val="bottom"/>
            <w:hideMark/>
          </w:tcPr>
          <w:p w14:paraId="4060ABD8" w14:textId="77777777" w:rsidR="00662FED" w:rsidRPr="00977020" w:rsidRDefault="00662FED" w:rsidP="003067FE">
            <w:pPr>
              <w:shd w:val="clear" w:color="auto" w:fill="auto"/>
              <w:spacing w:after="0" w:line="240" w:lineRule="auto"/>
              <w:rPr>
                <w:b/>
                <w:bCs/>
                <w:color w:val="auto"/>
                <w:sz w:val="18"/>
                <w:szCs w:val="18"/>
                <w:lang w:val="es-ES_tradnl"/>
              </w:rPr>
            </w:pPr>
          </w:p>
        </w:tc>
        <w:tc>
          <w:tcPr>
            <w:tcW w:w="1764" w:type="dxa"/>
            <w:tcBorders>
              <w:top w:val="nil"/>
              <w:left w:val="single" w:sz="4" w:space="0" w:color="auto"/>
              <w:bottom w:val="single" w:sz="4" w:space="0" w:color="auto"/>
              <w:right w:val="single" w:sz="4" w:space="0" w:color="auto"/>
            </w:tcBorders>
            <w:shd w:val="clear" w:color="000000" w:fill="FFE699"/>
            <w:vAlign w:val="center"/>
            <w:hideMark/>
          </w:tcPr>
          <w:p w14:paraId="57AD5CDA"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 xml:space="preserve">Donaciones: Incrementar 1 punto porcentual todos los tipos de </w:t>
            </w:r>
            <w:r w:rsidRPr="00977020">
              <w:rPr>
                <w:b/>
                <w:bCs/>
                <w:color w:val="auto"/>
                <w:sz w:val="18"/>
                <w:szCs w:val="18"/>
                <w:u w:val="single"/>
                <w:lang w:val="es-ES_tradnl"/>
              </w:rPr>
              <w:t>todos los tramos</w:t>
            </w:r>
            <w:r w:rsidRPr="00977020">
              <w:rPr>
                <w:b/>
                <w:bCs/>
                <w:color w:val="auto"/>
                <w:sz w:val="18"/>
                <w:szCs w:val="18"/>
                <w:lang w:val="es-ES_tradnl"/>
              </w:rPr>
              <w:t xml:space="preserve"> de todos los grupos de parentesco</w:t>
            </w:r>
          </w:p>
        </w:tc>
        <w:tc>
          <w:tcPr>
            <w:tcW w:w="222" w:type="dxa"/>
            <w:tcBorders>
              <w:top w:val="nil"/>
              <w:left w:val="nil"/>
              <w:bottom w:val="nil"/>
              <w:right w:val="nil"/>
            </w:tcBorders>
            <w:shd w:val="clear" w:color="auto" w:fill="auto"/>
            <w:noWrap/>
            <w:vAlign w:val="bottom"/>
            <w:hideMark/>
          </w:tcPr>
          <w:p w14:paraId="30CFF9CD" w14:textId="77777777" w:rsidR="00662FED" w:rsidRPr="00977020" w:rsidRDefault="00662FED" w:rsidP="003067FE">
            <w:pPr>
              <w:shd w:val="clear" w:color="auto" w:fill="auto"/>
              <w:spacing w:after="0" w:line="240" w:lineRule="auto"/>
              <w:rPr>
                <w:b/>
                <w:bCs/>
                <w:color w:val="auto"/>
                <w:sz w:val="18"/>
                <w:szCs w:val="18"/>
                <w:lang w:val="es-ES_tradnl"/>
              </w:rPr>
            </w:pPr>
          </w:p>
        </w:tc>
        <w:tc>
          <w:tcPr>
            <w:tcW w:w="1764" w:type="dxa"/>
            <w:tcBorders>
              <w:top w:val="nil"/>
              <w:left w:val="single" w:sz="4" w:space="0" w:color="auto"/>
              <w:bottom w:val="single" w:sz="4" w:space="0" w:color="auto"/>
              <w:right w:val="single" w:sz="4" w:space="0" w:color="auto"/>
            </w:tcBorders>
            <w:shd w:val="clear" w:color="000000" w:fill="FFE699"/>
            <w:vAlign w:val="center"/>
            <w:hideMark/>
          </w:tcPr>
          <w:p w14:paraId="35AF08D0"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 xml:space="preserve">Incrementar 0,25 puntos porcentuales el tipo del </w:t>
            </w:r>
            <w:r w:rsidRPr="00977020">
              <w:rPr>
                <w:b/>
                <w:bCs/>
                <w:color w:val="auto"/>
                <w:sz w:val="18"/>
                <w:szCs w:val="18"/>
                <w:u w:val="single"/>
                <w:lang w:val="es-ES_tradnl"/>
              </w:rPr>
              <w:t>tramo más alto</w:t>
            </w:r>
            <w:r w:rsidRPr="00977020">
              <w:rPr>
                <w:b/>
                <w:bCs/>
                <w:color w:val="auto"/>
                <w:sz w:val="18"/>
                <w:szCs w:val="18"/>
                <w:lang w:val="es-ES_tradnl"/>
              </w:rPr>
              <w:t xml:space="preserve"> de la tarifa</w:t>
            </w:r>
          </w:p>
        </w:tc>
      </w:tr>
      <w:tr w:rsidR="00977020" w:rsidRPr="00977020" w14:paraId="1698B213" w14:textId="77777777" w:rsidTr="00257B23">
        <w:trPr>
          <w:trHeight w:val="251"/>
        </w:trPr>
        <w:tc>
          <w:tcPr>
            <w:tcW w:w="1223" w:type="dxa"/>
            <w:tcBorders>
              <w:top w:val="nil"/>
              <w:left w:val="single" w:sz="4" w:space="0" w:color="auto"/>
              <w:bottom w:val="single" w:sz="4" w:space="0" w:color="auto"/>
              <w:right w:val="single" w:sz="4" w:space="0" w:color="auto"/>
            </w:tcBorders>
            <w:shd w:val="clear" w:color="000000" w:fill="D9D9D9"/>
            <w:vAlign w:val="center"/>
            <w:hideMark/>
          </w:tcPr>
          <w:p w14:paraId="56D7A080"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Tipo de medida</w:t>
            </w:r>
          </w:p>
        </w:tc>
        <w:tc>
          <w:tcPr>
            <w:tcW w:w="422" w:type="dxa"/>
            <w:tcBorders>
              <w:top w:val="nil"/>
              <w:left w:val="nil"/>
              <w:bottom w:val="nil"/>
              <w:right w:val="nil"/>
            </w:tcBorders>
            <w:shd w:val="clear" w:color="000000" w:fill="FFFFFF"/>
            <w:vAlign w:val="center"/>
            <w:hideMark/>
          </w:tcPr>
          <w:p w14:paraId="29352438"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1770" w:type="dxa"/>
            <w:tcBorders>
              <w:top w:val="nil"/>
              <w:left w:val="single" w:sz="4" w:space="0" w:color="auto"/>
              <w:bottom w:val="single" w:sz="4" w:space="0" w:color="auto"/>
              <w:right w:val="single" w:sz="4" w:space="0" w:color="auto"/>
            </w:tcBorders>
            <w:shd w:val="clear" w:color="000000" w:fill="D9D9D9"/>
            <w:vAlign w:val="center"/>
            <w:hideMark/>
          </w:tcPr>
          <w:p w14:paraId="76BB4A63"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c>
          <w:tcPr>
            <w:tcW w:w="267" w:type="dxa"/>
            <w:tcBorders>
              <w:top w:val="nil"/>
              <w:left w:val="nil"/>
              <w:bottom w:val="nil"/>
              <w:right w:val="nil"/>
            </w:tcBorders>
            <w:shd w:val="clear" w:color="000000" w:fill="FFFFFF"/>
            <w:noWrap/>
            <w:vAlign w:val="bottom"/>
            <w:hideMark/>
          </w:tcPr>
          <w:p w14:paraId="0A21B433"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1790" w:type="dxa"/>
            <w:tcBorders>
              <w:top w:val="nil"/>
              <w:left w:val="single" w:sz="4" w:space="0" w:color="auto"/>
              <w:bottom w:val="single" w:sz="4" w:space="0" w:color="auto"/>
              <w:right w:val="single" w:sz="4" w:space="0" w:color="auto"/>
            </w:tcBorders>
            <w:shd w:val="clear" w:color="000000" w:fill="D9D9D9"/>
            <w:vAlign w:val="center"/>
            <w:hideMark/>
          </w:tcPr>
          <w:p w14:paraId="4A0AC24C"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c>
          <w:tcPr>
            <w:tcW w:w="222" w:type="dxa"/>
            <w:tcBorders>
              <w:top w:val="nil"/>
              <w:left w:val="nil"/>
              <w:bottom w:val="nil"/>
              <w:right w:val="nil"/>
            </w:tcBorders>
            <w:shd w:val="clear" w:color="auto" w:fill="auto"/>
            <w:noWrap/>
            <w:vAlign w:val="bottom"/>
            <w:hideMark/>
          </w:tcPr>
          <w:p w14:paraId="19CCB92D" w14:textId="77777777" w:rsidR="00662FED" w:rsidRPr="00977020" w:rsidRDefault="00662FED" w:rsidP="003067FE">
            <w:pPr>
              <w:shd w:val="clear" w:color="auto" w:fill="auto"/>
              <w:spacing w:after="0" w:line="240" w:lineRule="auto"/>
              <w:rPr>
                <w:color w:val="auto"/>
                <w:sz w:val="18"/>
                <w:szCs w:val="18"/>
                <w:lang w:val="es-ES_tradnl"/>
              </w:rPr>
            </w:pPr>
          </w:p>
        </w:tc>
        <w:tc>
          <w:tcPr>
            <w:tcW w:w="1764" w:type="dxa"/>
            <w:tcBorders>
              <w:top w:val="nil"/>
              <w:left w:val="single" w:sz="4" w:space="0" w:color="auto"/>
              <w:bottom w:val="single" w:sz="4" w:space="0" w:color="auto"/>
              <w:right w:val="single" w:sz="4" w:space="0" w:color="auto"/>
            </w:tcBorders>
            <w:shd w:val="clear" w:color="000000" w:fill="D9D9D9"/>
            <w:vAlign w:val="center"/>
            <w:hideMark/>
          </w:tcPr>
          <w:p w14:paraId="5DE8A579"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c>
          <w:tcPr>
            <w:tcW w:w="222" w:type="dxa"/>
            <w:tcBorders>
              <w:top w:val="nil"/>
              <w:left w:val="nil"/>
              <w:bottom w:val="nil"/>
              <w:right w:val="nil"/>
            </w:tcBorders>
            <w:shd w:val="clear" w:color="auto" w:fill="auto"/>
            <w:noWrap/>
            <w:vAlign w:val="bottom"/>
            <w:hideMark/>
          </w:tcPr>
          <w:p w14:paraId="412100A7" w14:textId="77777777" w:rsidR="00662FED" w:rsidRPr="00977020" w:rsidRDefault="00662FED" w:rsidP="003067FE">
            <w:pPr>
              <w:shd w:val="clear" w:color="auto" w:fill="auto"/>
              <w:spacing w:after="0" w:line="240" w:lineRule="auto"/>
              <w:rPr>
                <w:color w:val="auto"/>
                <w:sz w:val="18"/>
                <w:szCs w:val="18"/>
                <w:lang w:val="es-ES_tradnl"/>
              </w:rPr>
            </w:pPr>
          </w:p>
        </w:tc>
        <w:tc>
          <w:tcPr>
            <w:tcW w:w="1764" w:type="dxa"/>
            <w:tcBorders>
              <w:top w:val="nil"/>
              <w:left w:val="single" w:sz="4" w:space="0" w:color="auto"/>
              <w:bottom w:val="single" w:sz="4" w:space="0" w:color="auto"/>
              <w:right w:val="single" w:sz="4" w:space="0" w:color="auto"/>
            </w:tcBorders>
            <w:shd w:val="clear" w:color="000000" w:fill="D9D9D9"/>
            <w:vAlign w:val="center"/>
            <w:hideMark/>
          </w:tcPr>
          <w:p w14:paraId="2A22DD83"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r>
      <w:tr w:rsidR="00977020" w:rsidRPr="00977020" w14:paraId="62EC1772" w14:textId="77777777" w:rsidTr="00257B23">
        <w:trPr>
          <w:trHeight w:val="347"/>
        </w:trPr>
        <w:tc>
          <w:tcPr>
            <w:tcW w:w="1223" w:type="dxa"/>
            <w:tcBorders>
              <w:top w:val="nil"/>
              <w:left w:val="single" w:sz="4" w:space="0" w:color="auto"/>
              <w:bottom w:val="single" w:sz="4" w:space="0" w:color="auto"/>
              <w:right w:val="single" w:sz="4" w:space="0" w:color="auto"/>
            </w:tcBorders>
            <w:shd w:val="clear" w:color="000000" w:fill="E2EFDA"/>
            <w:vAlign w:val="center"/>
            <w:hideMark/>
          </w:tcPr>
          <w:p w14:paraId="7AF44150"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Impacto presupuestario (millones de euros)</w:t>
            </w:r>
          </w:p>
        </w:tc>
        <w:tc>
          <w:tcPr>
            <w:tcW w:w="422" w:type="dxa"/>
            <w:tcBorders>
              <w:top w:val="nil"/>
              <w:left w:val="nil"/>
              <w:bottom w:val="nil"/>
              <w:right w:val="nil"/>
            </w:tcBorders>
            <w:shd w:val="clear" w:color="000000" w:fill="FFFFFF"/>
            <w:vAlign w:val="center"/>
            <w:hideMark/>
          </w:tcPr>
          <w:p w14:paraId="077AA608"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1770" w:type="dxa"/>
            <w:tcBorders>
              <w:top w:val="nil"/>
              <w:left w:val="single" w:sz="4" w:space="0" w:color="auto"/>
              <w:bottom w:val="single" w:sz="4" w:space="0" w:color="auto"/>
              <w:right w:val="single" w:sz="4" w:space="0" w:color="auto"/>
            </w:tcBorders>
            <w:shd w:val="clear" w:color="000000" w:fill="E2EFDA"/>
            <w:vAlign w:val="center"/>
            <w:hideMark/>
          </w:tcPr>
          <w:p w14:paraId="07404013"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48,3</w:t>
            </w:r>
          </w:p>
        </w:tc>
        <w:tc>
          <w:tcPr>
            <w:tcW w:w="267" w:type="dxa"/>
            <w:tcBorders>
              <w:top w:val="nil"/>
              <w:left w:val="nil"/>
              <w:bottom w:val="nil"/>
              <w:right w:val="nil"/>
            </w:tcBorders>
            <w:shd w:val="clear" w:color="000000" w:fill="FFFFFF"/>
            <w:noWrap/>
            <w:vAlign w:val="bottom"/>
            <w:hideMark/>
          </w:tcPr>
          <w:p w14:paraId="46E6D119"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1790" w:type="dxa"/>
            <w:tcBorders>
              <w:top w:val="nil"/>
              <w:left w:val="single" w:sz="4" w:space="0" w:color="auto"/>
              <w:bottom w:val="single" w:sz="4" w:space="0" w:color="auto"/>
              <w:right w:val="single" w:sz="4" w:space="0" w:color="auto"/>
            </w:tcBorders>
            <w:shd w:val="clear" w:color="000000" w:fill="E2EFDA"/>
            <w:vAlign w:val="center"/>
            <w:hideMark/>
          </w:tcPr>
          <w:p w14:paraId="1FF08EC4"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27,4</w:t>
            </w:r>
          </w:p>
        </w:tc>
        <w:tc>
          <w:tcPr>
            <w:tcW w:w="222" w:type="dxa"/>
            <w:tcBorders>
              <w:top w:val="nil"/>
              <w:left w:val="nil"/>
              <w:bottom w:val="nil"/>
              <w:right w:val="nil"/>
            </w:tcBorders>
            <w:shd w:val="clear" w:color="auto" w:fill="auto"/>
            <w:noWrap/>
            <w:vAlign w:val="bottom"/>
            <w:hideMark/>
          </w:tcPr>
          <w:p w14:paraId="6AA1B125" w14:textId="77777777" w:rsidR="00662FED" w:rsidRPr="00977020" w:rsidRDefault="00662FED" w:rsidP="003067FE">
            <w:pPr>
              <w:shd w:val="clear" w:color="auto" w:fill="auto"/>
              <w:spacing w:after="0" w:line="240" w:lineRule="auto"/>
              <w:rPr>
                <w:b/>
                <w:bCs/>
                <w:color w:val="auto"/>
                <w:sz w:val="24"/>
                <w:szCs w:val="24"/>
                <w:lang w:val="es-ES_tradnl"/>
              </w:rPr>
            </w:pPr>
          </w:p>
        </w:tc>
        <w:tc>
          <w:tcPr>
            <w:tcW w:w="1764" w:type="dxa"/>
            <w:tcBorders>
              <w:top w:val="nil"/>
              <w:left w:val="single" w:sz="4" w:space="0" w:color="auto"/>
              <w:bottom w:val="single" w:sz="4" w:space="0" w:color="auto"/>
              <w:right w:val="single" w:sz="4" w:space="0" w:color="auto"/>
            </w:tcBorders>
            <w:shd w:val="clear" w:color="000000" w:fill="E2EFDA"/>
            <w:vAlign w:val="center"/>
            <w:hideMark/>
          </w:tcPr>
          <w:p w14:paraId="5815BE45"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20,5</w:t>
            </w:r>
          </w:p>
        </w:tc>
        <w:tc>
          <w:tcPr>
            <w:tcW w:w="222" w:type="dxa"/>
            <w:tcBorders>
              <w:top w:val="nil"/>
              <w:left w:val="nil"/>
              <w:bottom w:val="nil"/>
              <w:right w:val="nil"/>
            </w:tcBorders>
            <w:shd w:val="clear" w:color="auto" w:fill="auto"/>
            <w:noWrap/>
            <w:vAlign w:val="bottom"/>
            <w:hideMark/>
          </w:tcPr>
          <w:p w14:paraId="55313123" w14:textId="77777777" w:rsidR="00662FED" w:rsidRPr="00977020" w:rsidRDefault="00662FED" w:rsidP="003067FE">
            <w:pPr>
              <w:shd w:val="clear" w:color="auto" w:fill="auto"/>
              <w:spacing w:after="0" w:line="240" w:lineRule="auto"/>
              <w:rPr>
                <w:b/>
                <w:bCs/>
                <w:color w:val="auto"/>
                <w:sz w:val="24"/>
                <w:szCs w:val="24"/>
                <w:lang w:val="es-ES_tradnl"/>
              </w:rPr>
            </w:pPr>
          </w:p>
        </w:tc>
        <w:tc>
          <w:tcPr>
            <w:tcW w:w="1764" w:type="dxa"/>
            <w:tcBorders>
              <w:top w:val="nil"/>
              <w:left w:val="single" w:sz="4" w:space="0" w:color="auto"/>
              <w:bottom w:val="single" w:sz="4" w:space="0" w:color="auto"/>
              <w:right w:val="single" w:sz="4" w:space="0" w:color="auto"/>
            </w:tcBorders>
            <w:shd w:val="clear" w:color="000000" w:fill="E2EFDA"/>
            <w:vAlign w:val="center"/>
            <w:hideMark/>
          </w:tcPr>
          <w:p w14:paraId="5B36DDE9"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6,6</w:t>
            </w:r>
          </w:p>
        </w:tc>
      </w:tr>
      <w:tr w:rsidR="00977020" w:rsidRPr="00977020" w14:paraId="038EC484" w14:textId="77777777" w:rsidTr="00257B23">
        <w:trPr>
          <w:trHeight w:val="347"/>
        </w:trPr>
        <w:tc>
          <w:tcPr>
            <w:tcW w:w="1223" w:type="dxa"/>
            <w:tcBorders>
              <w:top w:val="nil"/>
              <w:left w:val="single" w:sz="4" w:space="0" w:color="auto"/>
              <w:bottom w:val="single" w:sz="4" w:space="0" w:color="F4B084"/>
              <w:right w:val="single" w:sz="4" w:space="0" w:color="auto"/>
            </w:tcBorders>
            <w:shd w:val="clear" w:color="000000" w:fill="FCE4D6"/>
            <w:vAlign w:val="center"/>
            <w:hideMark/>
          </w:tcPr>
          <w:p w14:paraId="164C6E85" w14:textId="144AFB5F" w:rsidR="00662FED" w:rsidRPr="00977020" w:rsidRDefault="004029BB"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Número</w:t>
            </w:r>
            <w:r w:rsidR="00662FED" w:rsidRPr="00977020">
              <w:rPr>
                <w:color w:val="auto"/>
                <w:sz w:val="16"/>
                <w:szCs w:val="16"/>
                <w:lang w:val="es-ES_tradnl"/>
              </w:rPr>
              <w:t xml:space="preserve"> contribuyentes afectados (</w:t>
            </w:r>
            <w:r w:rsidRPr="00977020">
              <w:rPr>
                <w:color w:val="auto"/>
                <w:sz w:val="16"/>
                <w:szCs w:val="16"/>
                <w:lang w:val="es-ES_tradnl"/>
              </w:rPr>
              <w:t>estimación</w:t>
            </w:r>
            <w:r w:rsidR="00662FED" w:rsidRPr="00977020">
              <w:rPr>
                <w:color w:val="auto"/>
                <w:sz w:val="16"/>
                <w:szCs w:val="16"/>
                <w:lang w:val="es-ES_tradnl"/>
              </w:rPr>
              <w:t>)</w:t>
            </w:r>
          </w:p>
        </w:tc>
        <w:tc>
          <w:tcPr>
            <w:tcW w:w="422" w:type="dxa"/>
            <w:tcBorders>
              <w:top w:val="nil"/>
              <w:left w:val="nil"/>
              <w:bottom w:val="nil"/>
              <w:right w:val="nil"/>
            </w:tcBorders>
            <w:shd w:val="clear" w:color="000000" w:fill="FFFFFF"/>
            <w:vAlign w:val="center"/>
            <w:hideMark/>
          </w:tcPr>
          <w:p w14:paraId="0D38B2B2"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1770" w:type="dxa"/>
            <w:tcBorders>
              <w:top w:val="nil"/>
              <w:left w:val="single" w:sz="4" w:space="0" w:color="auto"/>
              <w:bottom w:val="single" w:sz="4" w:space="0" w:color="F4B084"/>
              <w:right w:val="single" w:sz="4" w:space="0" w:color="auto"/>
            </w:tcBorders>
            <w:shd w:val="clear" w:color="000000" w:fill="FCE4D6"/>
            <w:vAlign w:val="center"/>
            <w:hideMark/>
          </w:tcPr>
          <w:p w14:paraId="532C09FD"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39.008</w:t>
            </w:r>
          </w:p>
        </w:tc>
        <w:tc>
          <w:tcPr>
            <w:tcW w:w="267" w:type="dxa"/>
            <w:tcBorders>
              <w:top w:val="nil"/>
              <w:left w:val="nil"/>
              <w:bottom w:val="nil"/>
              <w:right w:val="nil"/>
            </w:tcBorders>
            <w:shd w:val="clear" w:color="000000" w:fill="FFFFFF"/>
            <w:noWrap/>
            <w:vAlign w:val="bottom"/>
            <w:hideMark/>
          </w:tcPr>
          <w:p w14:paraId="5B881902" w14:textId="77777777" w:rsidR="00662FED" w:rsidRPr="00977020" w:rsidRDefault="00662FED" w:rsidP="003067FE">
            <w:pPr>
              <w:shd w:val="clear" w:color="auto" w:fill="auto"/>
              <w:spacing w:after="0" w:line="240" w:lineRule="auto"/>
              <w:rPr>
                <w:rFonts w:ascii="Calibri" w:hAnsi="Calibri" w:cs="Calibri"/>
                <w:color w:val="auto"/>
                <w:sz w:val="20"/>
                <w:szCs w:val="20"/>
                <w:lang w:val="es-ES_tradnl"/>
              </w:rPr>
            </w:pPr>
            <w:r w:rsidRPr="00977020">
              <w:rPr>
                <w:rFonts w:ascii="Calibri" w:hAnsi="Calibri" w:cs="Calibri"/>
                <w:color w:val="auto"/>
                <w:sz w:val="20"/>
                <w:szCs w:val="20"/>
                <w:lang w:val="es-ES_tradnl"/>
              </w:rPr>
              <w:t> </w:t>
            </w:r>
          </w:p>
        </w:tc>
        <w:tc>
          <w:tcPr>
            <w:tcW w:w="1790" w:type="dxa"/>
            <w:tcBorders>
              <w:top w:val="nil"/>
              <w:left w:val="single" w:sz="4" w:space="0" w:color="auto"/>
              <w:bottom w:val="single" w:sz="4" w:space="0" w:color="F4B084"/>
              <w:right w:val="single" w:sz="4" w:space="0" w:color="auto"/>
            </w:tcBorders>
            <w:shd w:val="clear" w:color="000000" w:fill="FCE4D6"/>
            <w:vAlign w:val="center"/>
            <w:hideMark/>
          </w:tcPr>
          <w:p w14:paraId="0F34435D"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1.446</w:t>
            </w:r>
          </w:p>
        </w:tc>
        <w:tc>
          <w:tcPr>
            <w:tcW w:w="222" w:type="dxa"/>
            <w:tcBorders>
              <w:top w:val="nil"/>
              <w:left w:val="nil"/>
              <w:bottom w:val="nil"/>
              <w:right w:val="nil"/>
            </w:tcBorders>
            <w:shd w:val="clear" w:color="auto" w:fill="auto"/>
            <w:noWrap/>
            <w:vAlign w:val="bottom"/>
            <w:hideMark/>
          </w:tcPr>
          <w:p w14:paraId="6308EDE5" w14:textId="77777777" w:rsidR="00662FED" w:rsidRPr="00977020" w:rsidRDefault="00662FED" w:rsidP="003067FE">
            <w:pPr>
              <w:shd w:val="clear" w:color="auto" w:fill="auto"/>
              <w:spacing w:after="0" w:line="240" w:lineRule="auto"/>
              <w:rPr>
                <w:color w:val="auto"/>
                <w:sz w:val="20"/>
                <w:szCs w:val="20"/>
                <w:lang w:val="es-ES_tradnl"/>
              </w:rPr>
            </w:pPr>
          </w:p>
        </w:tc>
        <w:tc>
          <w:tcPr>
            <w:tcW w:w="1764" w:type="dxa"/>
            <w:tcBorders>
              <w:top w:val="nil"/>
              <w:left w:val="single" w:sz="4" w:space="0" w:color="auto"/>
              <w:bottom w:val="single" w:sz="4" w:space="0" w:color="F4B084"/>
              <w:right w:val="single" w:sz="4" w:space="0" w:color="auto"/>
            </w:tcBorders>
            <w:shd w:val="clear" w:color="000000" w:fill="FCE4D6"/>
            <w:vAlign w:val="center"/>
            <w:hideMark/>
          </w:tcPr>
          <w:p w14:paraId="689B6359"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29.876</w:t>
            </w:r>
          </w:p>
        </w:tc>
        <w:tc>
          <w:tcPr>
            <w:tcW w:w="222" w:type="dxa"/>
            <w:tcBorders>
              <w:top w:val="nil"/>
              <w:left w:val="nil"/>
              <w:bottom w:val="nil"/>
              <w:right w:val="nil"/>
            </w:tcBorders>
            <w:shd w:val="clear" w:color="auto" w:fill="auto"/>
            <w:noWrap/>
            <w:vAlign w:val="bottom"/>
            <w:hideMark/>
          </w:tcPr>
          <w:p w14:paraId="2C3F4285" w14:textId="77777777" w:rsidR="00662FED" w:rsidRPr="00977020" w:rsidRDefault="00662FED" w:rsidP="003067FE">
            <w:pPr>
              <w:shd w:val="clear" w:color="auto" w:fill="auto"/>
              <w:spacing w:after="0" w:line="240" w:lineRule="auto"/>
              <w:rPr>
                <w:color w:val="auto"/>
                <w:sz w:val="20"/>
                <w:szCs w:val="20"/>
                <w:lang w:val="es-ES_tradnl"/>
              </w:rPr>
            </w:pPr>
          </w:p>
        </w:tc>
        <w:tc>
          <w:tcPr>
            <w:tcW w:w="1764" w:type="dxa"/>
            <w:tcBorders>
              <w:top w:val="nil"/>
              <w:left w:val="single" w:sz="4" w:space="0" w:color="auto"/>
              <w:bottom w:val="single" w:sz="4" w:space="0" w:color="F4B084"/>
              <w:right w:val="single" w:sz="4" w:space="0" w:color="auto"/>
            </w:tcBorders>
            <w:shd w:val="clear" w:color="000000" w:fill="FCE4D6"/>
            <w:vAlign w:val="center"/>
            <w:hideMark/>
          </w:tcPr>
          <w:p w14:paraId="11E7C575"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706</w:t>
            </w:r>
          </w:p>
        </w:tc>
      </w:tr>
      <w:tr w:rsidR="00977020" w:rsidRPr="00977020" w14:paraId="33255518" w14:textId="77777777" w:rsidTr="00257B23">
        <w:trPr>
          <w:trHeight w:val="347"/>
        </w:trPr>
        <w:tc>
          <w:tcPr>
            <w:tcW w:w="1223" w:type="dxa"/>
            <w:tcBorders>
              <w:top w:val="nil"/>
              <w:left w:val="single" w:sz="4" w:space="0" w:color="auto"/>
              <w:bottom w:val="single" w:sz="4" w:space="0" w:color="auto"/>
              <w:right w:val="single" w:sz="4" w:space="0" w:color="auto"/>
            </w:tcBorders>
            <w:shd w:val="clear" w:color="000000" w:fill="FCE4D6"/>
            <w:vAlign w:val="center"/>
            <w:hideMark/>
          </w:tcPr>
          <w:p w14:paraId="1715B979"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Importe por contribuyente afectado (€)</w:t>
            </w:r>
          </w:p>
        </w:tc>
        <w:tc>
          <w:tcPr>
            <w:tcW w:w="422" w:type="dxa"/>
            <w:tcBorders>
              <w:top w:val="nil"/>
              <w:left w:val="nil"/>
              <w:bottom w:val="nil"/>
              <w:right w:val="nil"/>
            </w:tcBorders>
            <w:shd w:val="clear" w:color="000000" w:fill="FFFFFF"/>
            <w:vAlign w:val="center"/>
            <w:hideMark/>
          </w:tcPr>
          <w:p w14:paraId="37790F4E"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1770" w:type="dxa"/>
            <w:tcBorders>
              <w:top w:val="nil"/>
              <w:left w:val="single" w:sz="4" w:space="0" w:color="auto"/>
              <w:bottom w:val="single" w:sz="4" w:space="0" w:color="auto"/>
              <w:right w:val="single" w:sz="4" w:space="0" w:color="auto"/>
            </w:tcBorders>
            <w:shd w:val="clear" w:color="000000" w:fill="FCE4D6"/>
            <w:vAlign w:val="center"/>
            <w:hideMark/>
          </w:tcPr>
          <w:p w14:paraId="3A4CED97"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1.237 </w:t>
            </w:r>
          </w:p>
        </w:tc>
        <w:tc>
          <w:tcPr>
            <w:tcW w:w="267" w:type="dxa"/>
            <w:tcBorders>
              <w:top w:val="nil"/>
              <w:left w:val="nil"/>
              <w:bottom w:val="nil"/>
              <w:right w:val="nil"/>
            </w:tcBorders>
            <w:shd w:val="clear" w:color="000000" w:fill="FFFFFF"/>
            <w:noWrap/>
            <w:vAlign w:val="bottom"/>
            <w:hideMark/>
          </w:tcPr>
          <w:p w14:paraId="344393EC" w14:textId="77777777" w:rsidR="00662FED" w:rsidRPr="00977020" w:rsidRDefault="00662FED" w:rsidP="003067FE">
            <w:pPr>
              <w:shd w:val="clear" w:color="auto" w:fill="auto"/>
              <w:spacing w:after="0" w:line="240" w:lineRule="auto"/>
              <w:rPr>
                <w:rFonts w:ascii="Calibri" w:hAnsi="Calibri" w:cs="Calibri"/>
                <w:color w:val="auto"/>
                <w:sz w:val="20"/>
                <w:szCs w:val="20"/>
                <w:lang w:val="es-ES_tradnl"/>
              </w:rPr>
            </w:pPr>
            <w:r w:rsidRPr="00977020">
              <w:rPr>
                <w:rFonts w:ascii="Calibri" w:hAnsi="Calibri" w:cs="Calibri"/>
                <w:color w:val="auto"/>
                <w:sz w:val="20"/>
                <w:szCs w:val="20"/>
                <w:lang w:val="es-ES_tradnl"/>
              </w:rPr>
              <w:t> </w:t>
            </w:r>
          </w:p>
        </w:tc>
        <w:tc>
          <w:tcPr>
            <w:tcW w:w="1790" w:type="dxa"/>
            <w:tcBorders>
              <w:top w:val="nil"/>
              <w:left w:val="single" w:sz="4" w:space="0" w:color="auto"/>
              <w:bottom w:val="single" w:sz="4" w:space="0" w:color="auto"/>
              <w:right w:val="single" w:sz="4" w:space="0" w:color="auto"/>
            </w:tcBorders>
            <w:shd w:val="clear" w:color="000000" w:fill="FCE4D6"/>
            <w:vAlign w:val="center"/>
            <w:hideMark/>
          </w:tcPr>
          <w:p w14:paraId="1F8E84F3"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18.930 </w:t>
            </w:r>
          </w:p>
        </w:tc>
        <w:tc>
          <w:tcPr>
            <w:tcW w:w="222" w:type="dxa"/>
            <w:tcBorders>
              <w:top w:val="nil"/>
              <w:left w:val="nil"/>
              <w:bottom w:val="nil"/>
              <w:right w:val="nil"/>
            </w:tcBorders>
            <w:shd w:val="clear" w:color="auto" w:fill="auto"/>
            <w:noWrap/>
            <w:vAlign w:val="bottom"/>
            <w:hideMark/>
          </w:tcPr>
          <w:p w14:paraId="398F2B4E" w14:textId="77777777" w:rsidR="00662FED" w:rsidRPr="00977020" w:rsidRDefault="00662FED" w:rsidP="003067FE">
            <w:pPr>
              <w:shd w:val="clear" w:color="auto" w:fill="auto"/>
              <w:spacing w:after="0" w:line="240" w:lineRule="auto"/>
              <w:rPr>
                <w:color w:val="auto"/>
                <w:sz w:val="20"/>
                <w:szCs w:val="20"/>
                <w:lang w:val="es-ES_tradnl"/>
              </w:rPr>
            </w:pPr>
          </w:p>
        </w:tc>
        <w:tc>
          <w:tcPr>
            <w:tcW w:w="1764" w:type="dxa"/>
            <w:tcBorders>
              <w:top w:val="nil"/>
              <w:left w:val="single" w:sz="4" w:space="0" w:color="auto"/>
              <w:bottom w:val="single" w:sz="4" w:space="0" w:color="auto"/>
              <w:right w:val="single" w:sz="4" w:space="0" w:color="auto"/>
            </w:tcBorders>
            <w:shd w:val="clear" w:color="000000" w:fill="FCE4D6"/>
            <w:vAlign w:val="center"/>
            <w:hideMark/>
          </w:tcPr>
          <w:p w14:paraId="447D1EAF"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688 </w:t>
            </w:r>
          </w:p>
        </w:tc>
        <w:tc>
          <w:tcPr>
            <w:tcW w:w="222" w:type="dxa"/>
            <w:tcBorders>
              <w:top w:val="nil"/>
              <w:left w:val="nil"/>
              <w:bottom w:val="nil"/>
              <w:right w:val="nil"/>
            </w:tcBorders>
            <w:shd w:val="clear" w:color="auto" w:fill="auto"/>
            <w:noWrap/>
            <w:vAlign w:val="bottom"/>
            <w:hideMark/>
          </w:tcPr>
          <w:p w14:paraId="0F0F0721" w14:textId="77777777" w:rsidR="00662FED" w:rsidRPr="00977020" w:rsidRDefault="00662FED" w:rsidP="003067FE">
            <w:pPr>
              <w:shd w:val="clear" w:color="auto" w:fill="auto"/>
              <w:spacing w:after="0" w:line="240" w:lineRule="auto"/>
              <w:rPr>
                <w:color w:val="auto"/>
                <w:sz w:val="20"/>
                <w:szCs w:val="20"/>
                <w:lang w:val="es-ES_tradnl"/>
              </w:rPr>
            </w:pPr>
          </w:p>
        </w:tc>
        <w:tc>
          <w:tcPr>
            <w:tcW w:w="1764" w:type="dxa"/>
            <w:tcBorders>
              <w:top w:val="nil"/>
              <w:left w:val="single" w:sz="4" w:space="0" w:color="auto"/>
              <w:bottom w:val="single" w:sz="4" w:space="0" w:color="auto"/>
              <w:right w:val="single" w:sz="4" w:space="0" w:color="auto"/>
            </w:tcBorders>
            <w:shd w:val="clear" w:color="000000" w:fill="FCE4D6"/>
            <w:vAlign w:val="center"/>
            <w:hideMark/>
          </w:tcPr>
          <w:p w14:paraId="4E913183"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9.281 </w:t>
            </w:r>
          </w:p>
        </w:tc>
      </w:tr>
    </w:tbl>
    <w:p w14:paraId="79F62AA7" w14:textId="39F53A88" w:rsidR="00662FED" w:rsidRPr="00977020" w:rsidRDefault="00662FED" w:rsidP="003067FE">
      <w:pPr>
        <w:shd w:val="clear" w:color="auto" w:fill="auto"/>
        <w:spacing w:before="120" w:afterLines="100" w:after="240" w:line="276" w:lineRule="auto"/>
        <w:rPr>
          <w:rFonts w:asciiTheme="minorHAnsi" w:hAnsiTheme="minorHAnsi" w:cstheme="minorHAnsi"/>
          <w:color w:val="auto"/>
          <w:lang w:val="es-ES_tradnl"/>
        </w:rPr>
      </w:pPr>
    </w:p>
    <w:p w14:paraId="5770595B" w14:textId="77777777" w:rsidR="00662FED" w:rsidRPr="00977020" w:rsidRDefault="00662FED" w:rsidP="003067FE">
      <w:pPr>
        <w:spacing w:before="120" w:after="120"/>
        <w:ind w:firstLine="3"/>
        <w:rPr>
          <w:rFonts w:asciiTheme="minorHAnsi" w:hAnsiTheme="minorHAnsi" w:cstheme="minorHAnsi"/>
          <w:color w:val="auto"/>
          <w:sz w:val="20"/>
          <w:lang w:val="es-ES_tradnl"/>
        </w:rPr>
      </w:pPr>
      <w:r w:rsidRPr="00977020">
        <w:rPr>
          <w:rFonts w:asciiTheme="minorHAnsi" w:hAnsiTheme="minorHAnsi" w:cstheme="minorHAnsi"/>
          <w:color w:val="auto"/>
          <w:sz w:val="20"/>
          <w:lang w:val="es-ES_tradnl"/>
        </w:rPr>
        <w:t xml:space="preserve">- </w:t>
      </w:r>
      <w:r w:rsidRPr="00977020">
        <w:rPr>
          <w:rFonts w:asciiTheme="minorHAnsi" w:hAnsiTheme="minorHAnsi" w:cstheme="minorHAnsi"/>
          <w:color w:val="auto"/>
          <w:sz w:val="20"/>
          <w:u w:val="single"/>
          <w:lang w:val="es-ES_tradnl"/>
        </w:rPr>
        <w:t>Impuesto sobre transmisiones patrimoniales y actos jurídicos documentados (ITPAJD):</w:t>
      </w:r>
    </w:p>
    <w:tbl>
      <w:tblPr>
        <w:tblW w:w="7592" w:type="dxa"/>
        <w:tblInd w:w="-5" w:type="dxa"/>
        <w:tblLook w:val="04A0" w:firstRow="1" w:lastRow="0" w:firstColumn="1" w:lastColumn="0" w:noHBand="0" w:noVBand="1"/>
      </w:tblPr>
      <w:tblGrid>
        <w:gridCol w:w="1611"/>
        <w:gridCol w:w="542"/>
        <w:gridCol w:w="2591"/>
        <w:gridCol w:w="274"/>
        <w:gridCol w:w="2574"/>
      </w:tblGrid>
      <w:tr w:rsidR="00977020" w:rsidRPr="00977020" w14:paraId="5C788CB8" w14:textId="77777777" w:rsidTr="0016248E">
        <w:trPr>
          <w:trHeight w:val="324"/>
        </w:trPr>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1F71" w14:textId="60C541E7" w:rsidR="00662FED" w:rsidRPr="00977020" w:rsidRDefault="004029BB"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Número medida</w:t>
            </w:r>
          </w:p>
        </w:tc>
        <w:tc>
          <w:tcPr>
            <w:tcW w:w="542" w:type="dxa"/>
            <w:tcBorders>
              <w:top w:val="nil"/>
              <w:left w:val="nil"/>
              <w:bottom w:val="nil"/>
              <w:right w:val="nil"/>
            </w:tcBorders>
            <w:shd w:val="clear" w:color="000000" w:fill="FFFFFF"/>
            <w:vAlign w:val="center"/>
            <w:hideMark/>
          </w:tcPr>
          <w:p w14:paraId="3C732C8F"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1431E"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8</w:t>
            </w:r>
          </w:p>
        </w:tc>
        <w:tc>
          <w:tcPr>
            <w:tcW w:w="274" w:type="dxa"/>
            <w:tcBorders>
              <w:top w:val="nil"/>
              <w:left w:val="nil"/>
              <w:bottom w:val="nil"/>
              <w:right w:val="nil"/>
            </w:tcBorders>
            <w:shd w:val="clear" w:color="000000" w:fill="FFFFFF"/>
            <w:noWrap/>
            <w:vAlign w:val="bottom"/>
            <w:hideMark/>
          </w:tcPr>
          <w:p w14:paraId="5EF88F38"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2F77"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9</w:t>
            </w:r>
          </w:p>
        </w:tc>
      </w:tr>
      <w:tr w:rsidR="00977020" w:rsidRPr="00977020" w14:paraId="2110E57D" w14:textId="77777777" w:rsidTr="00662FED">
        <w:trPr>
          <w:trHeight w:val="705"/>
        </w:trPr>
        <w:tc>
          <w:tcPr>
            <w:tcW w:w="1611" w:type="dxa"/>
            <w:tcBorders>
              <w:top w:val="nil"/>
              <w:left w:val="single" w:sz="4" w:space="0" w:color="auto"/>
              <w:bottom w:val="single" w:sz="4" w:space="0" w:color="auto"/>
              <w:right w:val="single" w:sz="4" w:space="0" w:color="auto"/>
            </w:tcBorders>
            <w:shd w:val="clear" w:color="000000" w:fill="FFE699"/>
            <w:vAlign w:val="center"/>
            <w:hideMark/>
          </w:tcPr>
          <w:p w14:paraId="17BB5A4B" w14:textId="5A225D06"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Impuesto</w:t>
            </w:r>
          </w:p>
        </w:tc>
        <w:tc>
          <w:tcPr>
            <w:tcW w:w="542" w:type="dxa"/>
            <w:tcBorders>
              <w:top w:val="nil"/>
              <w:left w:val="nil"/>
              <w:bottom w:val="nil"/>
              <w:right w:val="nil"/>
            </w:tcBorders>
            <w:shd w:val="clear" w:color="000000" w:fill="FFFFFF"/>
            <w:vAlign w:val="center"/>
            <w:hideMark/>
          </w:tcPr>
          <w:p w14:paraId="0983C052"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591" w:type="dxa"/>
            <w:tcBorders>
              <w:top w:val="nil"/>
              <w:left w:val="single" w:sz="4" w:space="0" w:color="auto"/>
              <w:bottom w:val="single" w:sz="4" w:space="0" w:color="auto"/>
              <w:right w:val="single" w:sz="4" w:space="0" w:color="auto"/>
            </w:tcBorders>
            <w:shd w:val="clear" w:color="000000" w:fill="FFE699"/>
            <w:vAlign w:val="center"/>
            <w:hideMark/>
          </w:tcPr>
          <w:p w14:paraId="1E75D1CC"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Impuesto sobre transmisiones Patrimoniales y actos jurídicos documentos (ITPAJD)</w:t>
            </w:r>
          </w:p>
        </w:tc>
        <w:tc>
          <w:tcPr>
            <w:tcW w:w="274" w:type="dxa"/>
            <w:tcBorders>
              <w:top w:val="nil"/>
              <w:left w:val="nil"/>
              <w:bottom w:val="nil"/>
              <w:right w:val="nil"/>
            </w:tcBorders>
            <w:shd w:val="clear" w:color="000000" w:fill="FFFFFF"/>
            <w:noWrap/>
            <w:vAlign w:val="bottom"/>
            <w:hideMark/>
          </w:tcPr>
          <w:p w14:paraId="28FE47F1" w14:textId="77777777" w:rsidR="00662FED" w:rsidRPr="00977020" w:rsidRDefault="00662FED" w:rsidP="003067FE">
            <w:pPr>
              <w:shd w:val="clear" w:color="auto" w:fill="auto"/>
              <w:spacing w:after="0" w:line="240" w:lineRule="auto"/>
              <w:rPr>
                <w:rFonts w:ascii="Calibri" w:hAnsi="Calibri" w:cs="Calibri"/>
                <w:color w:val="auto"/>
                <w:sz w:val="16"/>
                <w:szCs w:val="16"/>
                <w:lang w:val="es-ES_tradnl"/>
              </w:rPr>
            </w:pPr>
            <w:r w:rsidRPr="00977020">
              <w:rPr>
                <w:rFonts w:ascii="Calibri" w:hAnsi="Calibri" w:cs="Calibri"/>
                <w:color w:val="auto"/>
                <w:sz w:val="16"/>
                <w:szCs w:val="16"/>
                <w:lang w:val="es-ES_tradnl"/>
              </w:rPr>
              <w:t> </w:t>
            </w:r>
          </w:p>
        </w:tc>
        <w:tc>
          <w:tcPr>
            <w:tcW w:w="2574" w:type="dxa"/>
            <w:tcBorders>
              <w:top w:val="nil"/>
              <w:left w:val="single" w:sz="4" w:space="0" w:color="auto"/>
              <w:bottom w:val="single" w:sz="4" w:space="0" w:color="auto"/>
              <w:right w:val="single" w:sz="4" w:space="0" w:color="auto"/>
            </w:tcBorders>
            <w:shd w:val="clear" w:color="000000" w:fill="FFE699"/>
            <w:vAlign w:val="center"/>
            <w:hideMark/>
          </w:tcPr>
          <w:p w14:paraId="3E1AB14E"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Impuesto sobre transmisiones Patrimoniales y actos jurídicos documentos (ITPAJD)*</w:t>
            </w:r>
          </w:p>
        </w:tc>
      </w:tr>
      <w:tr w:rsidR="00977020" w:rsidRPr="00977020" w14:paraId="7E6F6307" w14:textId="77777777" w:rsidTr="00662FED">
        <w:trPr>
          <w:trHeight w:val="1288"/>
        </w:trPr>
        <w:tc>
          <w:tcPr>
            <w:tcW w:w="1611" w:type="dxa"/>
            <w:tcBorders>
              <w:top w:val="nil"/>
              <w:left w:val="single" w:sz="4" w:space="0" w:color="auto"/>
              <w:bottom w:val="single" w:sz="4" w:space="0" w:color="auto"/>
              <w:right w:val="single" w:sz="4" w:space="0" w:color="auto"/>
            </w:tcBorders>
            <w:shd w:val="clear" w:color="000000" w:fill="FFE699"/>
            <w:vAlign w:val="center"/>
            <w:hideMark/>
          </w:tcPr>
          <w:p w14:paraId="2040B252"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Medida</w:t>
            </w:r>
          </w:p>
        </w:tc>
        <w:tc>
          <w:tcPr>
            <w:tcW w:w="542" w:type="dxa"/>
            <w:tcBorders>
              <w:top w:val="nil"/>
              <w:left w:val="nil"/>
              <w:bottom w:val="nil"/>
              <w:right w:val="nil"/>
            </w:tcBorders>
            <w:shd w:val="clear" w:color="000000" w:fill="FFFFFF"/>
            <w:vAlign w:val="center"/>
            <w:hideMark/>
          </w:tcPr>
          <w:p w14:paraId="6D05B952"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591" w:type="dxa"/>
            <w:tcBorders>
              <w:top w:val="nil"/>
              <w:left w:val="single" w:sz="4" w:space="0" w:color="auto"/>
              <w:bottom w:val="single" w:sz="4" w:space="0" w:color="auto"/>
              <w:right w:val="single" w:sz="4" w:space="0" w:color="auto"/>
            </w:tcBorders>
            <w:shd w:val="clear" w:color="000000" w:fill="FFE699"/>
            <w:vAlign w:val="center"/>
            <w:hideMark/>
          </w:tcPr>
          <w:p w14:paraId="0FA36E36"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 xml:space="preserve">Incrementar 0,5 puntos porcentuales </w:t>
            </w:r>
            <w:r w:rsidRPr="00977020">
              <w:rPr>
                <w:b/>
                <w:bCs/>
                <w:color w:val="auto"/>
                <w:sz w:val="18"/>
                <w:szCs w:val="18"/>
                <w:u w:val="single"/>
                <w:lang w:val="es-ES_tradnl"/>
              </w:rPr>
              <w:t>todos los tipos de la tarifa</w:t>
            </w:r>
            <w:r w:rsidRPr="00977020">
              <w:rPr>
                <w:b/>
                <w:bCs/>
                <w:color w:val="auto"/>
                <w:sz w:val="18"/>
                <w:szCs w:val="18"/>
                <w:lang w:val="es-ES_tradnl"/>
              </w:rPr>
              <w:t xml:space="preserve"> para transmisiones y derechos reales sobre inmuebles rústicos, urbanos y otros</w:t>
            </w:r>
          </w:p>
        </w:tc>
        <w:tc>
          <w:tcPr>
            <w:tcW w:w="274" w:type="dxa"/>
            <w:tcBorders>
              <w:top w:val="nil"/>
              <w:left w:val="nil"/>
              <w:bottom w:val="nil"/>
              <w:right w:val="nil"/>
            </w:tcBorders>
            <w:shd w:val="clear" w:color="000000" w:fill="FFFFFF"/>
            <w:noWrap/>
            <w:vAlign w:val="bottom"/>
            <w:hideMark/>
          </w:tcPr>
          <w:p w14:paraId="0BC7C4FE"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574" w:type="dxa"/>
            <w:tcBorders>
              <w:top w:val="nil"/>
              <w:left w:val="single" w:sz="4" w:space="0" w:color="auto"/>
              <w:bottom w:val="single" w:sz="4" w:space="0" w:color="auto"/>
              <w:right w:val="single" w:sz="4" w:space="0" w:color="auto"/>
            </w:tcBorders>
            <w:shd w:val="clear" w:color="000000" w:fill="FFE699"/>
            <w:vAlign w:val="center"/>
            <w:hideMark/>
          </w:tcPr>
          <w:p w14:paraId="09DD00AB"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Supresión del tipo reducido en la adquisición de viviendas de jóvenes</w:t>
            </w:r>
          </w:p>
        </w:tc>
      </w:tr>
      <w:tr w:rsidR="00977020" w:rsidRPr="00977020" w14:paraId="5DCE3902" w14:textId="77777777" w:rsidTr="00662FED">
        <w:trPr>
          <w:trHeight w:val="324"/>
        </w:trPr>
        <w:tc>
          <w:tcPr>
            <w:tcW w:w="1611" w:type="dxa"/>
            <w:tcBorders>
              <w:top w:val="nil"/>
              <w:left w:val="single" w:sz="4" w:space="0" w:color="auto"/>
              <w:bottom w:val="single" w:sz="4" w:space="0" w:color="auto"/>
              <w:right w:val="single" w:sz="4" w:space="0" w:color="auto"/>
            </w:tcBorders>
            <w:shd w:val="clear" w:color="000000" w:fill="D9D9D9"/>
            <w:vAlign w:val="center"/>
            <w:hideMark/>
          </w:tcPr>
          <w:p w14:paraId="12370B9E"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Tipo de medida</w:t>
            </w:r>
          </w:p>
        </w:tc>
        <w:tc>
          <w:tcPr>
            <w:tcW w:w="542" w:type="dxa"/>
            <w:tcBorders>
              <w:top w:val="nil"/>
              <w:left w:val="nil"/>
              <w:bottom w:val="nil"/>
              <w:right w:val="nil"/>
            </w:tcBorders>
            <w:shd w:val="clear" w:color="000000" w:fill="FFFFFF"/>
            <w:vAlign w:val="center"/>
            <w:hideMark/>
          </w:tcPr>
          <w:p w14:paraId="64C55A7A"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591" w:type="dxa"/>
            <w:tcBorders>
              <w:top w:val="nil"/>
              <w:left w:val="single" w:sz="4" w:space="0" w:color="auto"/>
              <w:bottom w:val="single" w:sz="4" w:space="0" w:color="auto"/>
              <w:right w:val="single" w:sz="4" w:space="0" w:color="auto"/>
            </w:tcBorders>
            <w:shd w:val="clear" w:color="000000" w:fill="D9D9D9"/>
            <w:vAlign w:val="center"/>
            <w:hideMark/>
          </w:tcPr>
          <w:p w14:paraId="022CEF5D"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c>
          <w:tcPr>
            <w:tcW w:w="274" w:type="dxa"/>
            <w:tcBorders>
              <w:top w:val="nil"/>
              <w:left w:val="nil"/>
              <w:bottom w:val="nil"/>
              <w:right w:val="nil"/>
            </w:tcBorders>
            <w:shd w:val="clear" w:color="000000" w:fill="FFFFFF"/>
            <w:noWrap/>
            <w:vAlign w:val="bottom"/>
            <w:hideMark/>
          </w:tcPr>
          <w:p w14:paraId="10E76BA0"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574" w:type="dxa"/>
            <w:tcBorders>
              <w:top w:val="nil"/>
              <w:left w:val="single" w:sz="4" w:space="0" w:color="auto"/>
              <w:bottom w:val="single" w:sz="4" w:space="0" w:color="auto"/>
              <w:right w:val="single" w:sz="4" w:space="0" w:color="auto"/>
            </w:tcBorders>
            <w:shd w:val="clear" w:color="000000" w:fill="D9D9D9"/>
            <w:vAlign w:val="center"/>
            <w:hideMark/>
          </w:tcPr>
          <w:p w14:paraId="19188C62"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Eliminar beneficio fiscal</w:t>
            </w:r>
          </w:p>
        </w:tc>
      </w:tr>
      <w:tr w:rsidR="00977020" w:rsidRPr="00977020" w14:paraId="2C0AA4B0" w14:textId="77777777" w:rsidTr="00662FED">
        <w:trPr>
          <w:trHeight w:val="447"/>
        </w:trPr>
        <w:tc>
          <w:tcPr>
            <w:tcW w:w="1611" w:type="dxa"/>
            <w:tcBorders>
              <w:top w:val="nil"/>
              <w:left w:val="single" w:sz="4" w:space="0" w:color="auto"/>
              <w:bottom w:val="single" w:sz="4" w:space="0" w:color="auto"/>
              <w:right w:val="single" w:sz="4" w:space="0" w:color="auto"/>
            </w:tcBorders>
            <w:shd w:val="clear" w:color="000000" w:fill="E2EFDA"/>
            <w:vAlign w:val="center"/>
            <w:hideMark/>
          </w:tcPr>
          <w:p w14:paraId="4B6DDE6A"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Impacto presupuestario (millones de euros)</w:t>
            </w:r>
          </w:p>
        </w:tc>
        <w:tc>
          <w:tcPr>
            <w:tcW w:w="542" w:type="dxa"/>
            <w:tcBorders>
              <w:top w:val="nil"/>
              <w:left w:val="nil"/>
              <w:bottom w:val="nil"/>
              <w:right w:val="nil"/>
            </w:tcBorders>
            <w:shd w:val="clear" w:color="000000" w:fill="FFFFFF"/>
            <w:vAlign w:val="center"/>
            <w:hideMark/>
          </w:tcPr>
          <w:p w14:paraId="50FA566F"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591" w:type="dxa"/>
            <w:tcBorders>
              <w:top w:val="nil"/>
              <w:left w:val="single" w:sz="4" w:space="0" w:color="auto"/>
              <w:bottom w:val="single" w:sz="4" w:space="0" w:color="auto"/>
              <w:right w:val="single" w:sz="4" w:space="0" w:color="auto"/>
            </w:tcBorders>
            <w:shd w:val="clear" w:color="000000" w:fill="E2EFDA"/>
            <w:vAlign w:val="center"/>
            <w:hideMark/>
          </w:tcPr>
          <w:p w14:paraId="2ED2B691"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84,3</w:t>
            </w:r>
          </w:p>
        </w:tc>
        <w:tc>
          <w:tcPr>
            <w:tcW w:w="274" w:type="dxa"/>
            <w:tcBorders>
              <w:top w:val="nil"/>
              <w:left w:val="nil"/>
              <w:bottom w:val="nil"/>
              <w:right w:val="nil"/>
            </w:tcBorders>
            <w:shd w:val="clear" w:color="000000" w:fill="FFFFFF"/>
            <w:noWrap/>
            <w:vAlign w:val="bottom"/>
            <w:hideMark/>
          </w:tcPr>
          <w:p w14:paraId="64B2B523" w14:textId="77777777" w:rsidR="00662FED" w:rsidRPr="00977020" w:rsidRDefault="00662FED" w:rsidP="003067FE">
            <w:pPr>
              <w:shd w:val="clear" w:color="auto" w:fill="auto"/>
              <w:spacing w:after="0" w:line="240" w:lineRule="auto"/>
              <w:rPr>
                <w:rFonts w:ascii="Calibri" w:hAnsi="Calibri" w:cs="Calibri"/>
                <w:color w:val="auto"/>
                <w:lang w:val="es-ES_tradnl"/>
              </w:rPr>
            </w:pPr>
            <w:r w:rsidRPr="00977020">
              <w:rPr>
                <w:rFonts w:ascii="Calibri" w:hAnsi="Calibri" w:cs="Calibri"/>
                <w:color w:val="auto"/>
                <w:lang w:val="es-ES_tradnl"/>
              </w:rPr>
              <w:t> </w:t>
            </w:r>
          </w:p>
        </w:tc>
        <w:tc>
          <w:tcPr>
            <w:tcW w:w="2574" w:type="dxa"/>
            <w:tcBorders>
              <w:top w:val="nil"/>
              <w:left w:val="single" w:sz="4" w:space="0" w:color="auto"/>
              <w:bottom w:val="single" w:sz="4" w:space="0" w:color="auto"/>
              <w:right w:val="single" w:sz="4" w:space="0" w:color="auto"/>
            </w:tcBorders>
            <w:shd w:val="clear" w:color="000000" w:fill="E2EFDA"/>
            <w:vAlign w:val="center"/>
            <w:hideMark/>
          </w:tcPr>
          <w:p w14:paraId="36DBDF19"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125,3</w:t>
            </w:r>
          </w:p>
        </w:tc>
      </w:tr>
      <w:tr w:rsidR="00977020" w:rsidRPr="00977020" w14:paraId="69A3D470" w14:textId="77777777" w:rsidTr="00662FED">
        <w:trPr>
          <w:trHeight w:val="447"/>
        </w:trPr>
        <w:tc>
          <w:tcPr>
            <w:tcW w:w="1611" w:type="dxa"/>
            <w:tcBorders>
              <w:top w:val="nil"/>
              <w:left w:val="single" w:sz="4" w:space="0" w:color="auto"/>
              <w:bottom w:val="single" w:sz="4" w:space="0" w:color="F4B084"/>
              <w:right w:val="single" w:sz="4" w:space="0" w:color="auto"/>
            </w:tcBorders>
            <w:shd w:val="clear" w:color="000000" w:fill="FCE4D6"/>
            <w:vAlign w:val="center"/>
            <w:hideMark/>
          </w:tcPr>
          <w:p w14:paraId="2F5CCF47" w14:textId="3737B08C"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N</w:t>
            </w:r>
            <w:r w:rsidR="004029BB" w:rsidRPr="00977020">
              <w:rPr>
                <w:color w:val="auto"/>
                <w:sz w:val="16"/>
                <w:szCs w:val="16"/>
                <w:lang w:val="es-ES_tradnl"/>
              </w:rPr>
              <w:t>úmero de</w:t>
            </w:r>
            <w:r w:rsidRPr="00977020">
              <w:rPr>
                <w:color w:val="auto"/>
                <w:sz w:val="16"/>
                <w:szCs w:val="16"/>
                <w:lang w:val="es-ES_tradnl"/>
              </w:rPr>
              <w:t xml:space="preserve"> contribuyentes afectados (</w:t>
            </w:r>
            <w:r w:rsidR="004029BB" w:rsidRPr="00977020">
              <w:rPr>
                <w:color w:val="auto"/>
                <w:sz w:val="16"/>
                <w:szCs w:val="16"/>
                <w:lang w:val="es-ES_tradnl"/>
              </w:rPr>
              <w:t>estimación</w:t>
            </w:r>
            <w:r w:rsidRPr="00977020">
              <w:rPr>
                <w:color w:val="auto"/>
                <w:sz w:val="16"/>
                <w:szCs w:val="16"/>
                <w:lang w:val="es-ES_tradnl"/>
              </w:rPr>
              <w:t>)</w:t>
            </w:r>
          </w:p>
        </w:tc>
        <w:tc>
          <w:tcPr>
            <w:tcW w:w="542" w:type="dxa"/>
            <w:tcBorders>
              <w:top w:val="nil"/>
              <w:left w:val="nil"/>
              <w:bottom w:val="nil"/>
              <w:right w:val="nil"/>
            </w:tcBorders>
            <w:shd w:val="clear" w:color="000000" w:fill="FFFFFF"/>
            <w:vAlign w:val="center"/>
            <w:hideMark/>
          </w:tcPr>
          <w:p w14:paraId="16889A62"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591" w:type="dxa"/>
            <w:tcBorders>
              <w:top w:val="nil"/>
              <w:left w:val="single" w:sz="4" w:space="0" w:color="auto"/>
              <w:bottom w:val="single" w:sz="4" w:space="0" w:color="F4B084"/>
              <w:right w:val="single" w:sz="4" w:space="0" w:color="auto"/>
            </w:tcBorders>
            <w:shd w:val="clear" w:color="000000" w:fill="FCE4D6"/>
            <w:vAlign w:val="center"/>
            <w:hideMark/>
          </w:tcPr>
          <w:p w14:paraId="11974EF0"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115.198</w:t>
            </w:r>
          </w:p>
        </w:tc>
        <w:tc>
          <w:tcPr>
            <w:tcW w:w="274" w:type="dxa"/>
            <w:tcBorders>
              <w:top w:val="nil"/>
              <w:left w:val="nil"/>
              <w:bottom w:val="nil"/>
              <w:right w:val="nil"/>
            </w:tcBorders>
            <w:shd w:val="clear" w:color="000000" w:fill="FFFFFF"/>
            <w:noWrap/>
            <w:vAlign w:val="bottom"/>
            <w:hideMark/>
          </w:tcPr>
          <w:p w14:paraId="74BBFC8A" w14:textId="77777777" w:rsidR="00662FED" w:rsidRPr="00977020" w:rsidRDefault="00662FED" w:rsidP="003067FE">
            <w:pPr>
              <w:shd w:val="clear" w:color="auto" w:fill="auto"/>
              <w:spacing w:after="0" w:line="240" w:lineRule="auto"/>
              <w:rPr>
                <w:rFonts w:ascii="Calibri" w:hAnsi="Calibri" w:cs="Calibri"/>
                <w:color w:val="auto"/>
                <w:sz w:val="20"/>
                <w:szCs w:val="20"/>
                <w:lang w:val="es-ES_tradnl"/>
              </w:rPr>
            </w:pPr>
            <w:r w:rsidRPr="00977020">
              <w:rPr>
                <w:rFonts w:ascii="Calibri" w:hAnsi="Calibri" w:cs="Calibri"/>
                <w:color w:val="auto"/>
                <w:sz w:val="20"/>
                <w:szCs w:val="20"/>
                <w:lang w:val="es-ES_tradnl"/>
              </w:rPr>
              <w:t> </w:t>
            </w:r>
          </w:p>
        </w:tc>
        <w:tc>
          <w:tcPr>
            <w:tcW w:w="2574" w:type="dxa"/>
            <w:tcBorders>
              <w:top w:val="nil"/>
              <w:left w:val="single" w:sz="4" w:space="0" w:color="auto"/>
              <w:bottom w:val="single" w:sz="4" w:space="0" w:color="F4B084"/>
              <w:right w:val="single" w:sz="4" w:space="0" w:color="auto"/>
            </w:tcBorders>
            <w:shd w:val="clear" w:color="000000" w:fill="FCE4D6"/>
            <w:vAlign w:val="center"/>
            <w:hideMark/>
          </w:tcPr>
          <w:p w14:paraId="6AD4328A"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16.955</w:t>
            </w:r>
          </w:p>
        </w:tc>
      </w:tr>
      <w:tr w:rsidR="00977020" w:rsidRPr="00977020" w14:paraId="3FBCB8E0" w14:textId="77777777" w:rsidTr="00662FED">
        <w:trPr>
          <w:trHeight w:val="447"/>
        </w:trPr>
        <w:tc>
          <w:tcPr>
            <w:tcW w:w="1611" w:type="dxa"/>
            <w:tcBorders>
              <w:top w:val="nil"/>
              <w:left w:val="single" w:sz="4" w:space="0" w:color="auto"/>
              <w:bottom w:val="single" w:sz="4" w:space="0" w:color="auto"/>
              <w:right w:val="single" w:sz="4" w:space="0" w:color="auto"/>
            </w:tcBorders>
            <w:shd w:val="clear" w:color="000000" w:fill="FCE4D6"/>
            <w:vAlign w:val="center"/>
            <w:hideMark/>
          </w:tcPr>
          <w:p w14:paraId="4D19B3B7"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Importe por contribuyente afectado (€)</w:t>
            </w:r>
          </w:p>
        </w:tc>
        <w:tc>
          <w:tcPr>
            <w:tcW w:w="542" w:type="dxa"/>
            <w:tcBorders>
              <w:top w:val="nil"/>
              <w:left w:val="nil"/>
              <w:bottom w:val="nil"/>
              <w:right w:val="nil"/>
            </w:tcBorders>
            <w:shd w:val="clear" w:color="000000" w:fill="FFFFFF"/>
            <w:vAlign w:val="center"/>
            <w:hideMark/>
          </w:tcPr>
          <w:p w14:paraId="6E1043F3"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 </w:t>
            </w:r>
          </w:p>
        </w:tc>
        <w:tc>
          <w:tcPr>
            <w:tcW w:w="2591" w:type="dxa"/>
            <w:tcBorders>
              <w:top w:val="nil"/>
              <w:left w:val="single" w:sz="4" w:space="0" w:color="auto"/>
              <w:bottom w:val="single" w:sz="4" w:space="0" w:color="auto"/>
              <w:right w:val="single" w:sz="4" w:space="0" w:color="auto"/>
            </w:tcBorders>
            <w:shd w:val="clear" w:color="000000" w:fill="FCE4D6"/>
            <w:vAlign w:val="center"/>
            <w:hideMark/>
          </w:tcPr>
          <w:p w14:paraId="010BC4A1"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732 </w:t>
            </w:r>
          </w:p>
        </w:tc>
        <w:tc>
          <w:tcPr>
            <w:tcW w:w="274" w:type="dxa"/>
            <w:tcBorders>
              <w:top w:val="nil"/>
              <w:left w:val="nil"/>
              <w:bottom w:val="nil"/>
              <w:right w:val="nil"/>
            </w:tcBorders>
            <w:shd w:val="clear" w:color="000000" w:fill="FFFFFF"/>
            <w:noWrap/>
            <w:vAlign w:val="bottom"/>
            <w:hideMark/>
          </w:tcPr>
          <w:p w14:paraId="3B831800" w14:textId="77777777" w:rsidR="00662FED" w:rsidRPr="00977020" w:rsidRDefault="00662FED" w:rsidP="003067FE">
            <w:pPr>
              <w:shd w:val="clear" w:color="auto" w:fill="auto"/>
              <w:spacing w:after="0" w:line="240" w:lineRule="auto"/>
              <w:rPr>
                <w:rFonts w:ascii="Calibri" w:hAnsi="Calibri" w:cs="Calibri"/>
                <w:color w:val="auto"/>
                <w:sz w:val="20"/>
                <w:szCs w:val="20"/>
                <w:lang w:val="es-ES_tradnl"/>
              </w:rPr>
            </w:pPr>
            <w:r w:rsidRPr="00977020">
              <w:rPr>
                <w:rFonts w:ascii="Calibri" w:hAnsi="Calibri" w:cs="Calibri"/>
                <w:color w:val="auto"/>
                <w:sz w:val="20"/>
                <w:szCs w:val="20"/>
                <w:lang w:val="es-ES_tradnl"/>
              </w:rPr>
              <w:t> </w:t>
            </w:r>
          </w:p>
        </w:tc>
        <w:tc>
          <w:tcPr>
            <w:tcW w:w="2574" w:type="dxa"/>
            <w:tcBorders>
              <w:top w:val="nil"/>
              <w:left w:val="single" w:sz="4" w:space="0" w:color="auto"/>
              <w:bottom w:val="single" w:sz="4" w:space="0" w:color="auto"/>
              <w:right w:val="single" w:sz="4" w:space="0" w:color="auto"/>
            </w:tcBorders>
            <w:shd w:val="clear" w:color="000000" w:fill="FCE4D6"/>
            <w:vAlign w:val="center"/>
            <w:hideMark/>
          </w:tcPr>
          <w:p w14:paraId="2F3C84BB" w14:textId="77777777" w:rsidR="00662FED" w:rsidRPr="00977020" w:rsidRDefault="00662FED" w:rsidP="003067FE">
            <w:pPr>
              <w:shd w:val="clear" w:color="auto" w:fill="auto"/>
              <w:spacing w:after="0" w:line="240" w:lineRule="auto"/>
              <w:rPr>
                <w:color w:val="auto"/>
                <w:sz w:val="20"/>
                <w:szCs w:val="20"/>
                <w:lang w:val="es-ES_tradnl"/>
              </w:rPr>
            </w:pPr>
            <w:r w:rsidRPr="00977020">
              <w:rPr>
                <w:color w:val="auto"/>
                <w:sz w:val="20"/>
                <w:szCs w:val="20"/>
                <w:lang w:val="es-ES_tradnl"/>
              </w:rPr>
              <w:t xml:space="preserve">7.387 </w:t>
            </w:r>
          </w:p>
        </w:tc>
      </w:tr>
    </w:tbl>
    <w:p w14:paraId="6B8DEAD3" w14:textId="6EB5132F" w:rsidR="00662FED" w:rsidRPr="00977020" w:rsidRDefault="00662FED" w:rsidP="003067FE">
      <w:pPr>
        <w:spacing w:before="120" w:after="120"/>
        <w:rPr>
          <w:rFonts w:asciiTheme="minorHAnsi" w:hAnsiTheme="minorHAnsi" w:cstheme="minorHAnsi"/>
          <w:color w:val="auto"/>
          <w:sz w:val="16"/>
          <w:lang w:val="es-ES_tradnl"/>
        </w:rPr>
      </w:pPr>
      <w:r w:rsidRPr="00977020">
        <w:rPr>
          <w:rFonts w:asciiTheme="minorHAnsi" w:hAnsiTheme="minorHAnsi" w:cstheme="minorHAnsi"/>
          <w:color w:val="auto"/>
          <w:sz w:val="16"/>
          <w:lang w:val="es-ES_tradnl"/>
        </w:rPr>
        <w:t>*</w:t>
      </w:r>
      <w:proofErr w:type="spellStart"/>
      <w:r w:rsidRPr="00977020">
        <w:rPr>
          <w:rFonts w:asciiTheme="minorHAnsi" w:hAnsiTheme="minorHAnsi" w:cstheme="minorHAnsi"/>
          <w:color w:val="auto"/>
          <w:sz w:val="16"/>
          <w:lang w:val="es-ES_tradnl"/>
        </w:rPr>
        <w:t>S’aplica</w:t>
      </w:r>
      <w:proofErr w:type="spellEnd"/>
      <w:r w:rsidRPr="00977020">
        <w:rPr>
          <w:rFonts w:asciiTheme="minorHAnsi" w:hAnsiTheme="minorHAnsi" w:cstheme="minorHAnsi"/>
          <w:color w:val="auto"/>
          <w:sz w:val="16"/>
          <w:lang w:val="es-ES_tradnl"/>
        </w:rPr>
        <w:t xml:space="preserve"> un tipo impositivo en la modalidad de transmisiones patrimoniales onerosas del 5% (en lugar del 10-11% general) a las adquisiciones de vivienda habitual</w:t>
      </w:r>
      <w:r w:rsidR="00A37C78" w:rsidRPr="00977020">
        <w:rPr>
          <w:rFonts w:asciiTheme="minorHAnsi" w:hAnsiTheme="minorHAnsi" w:cstheme="minorHAnsi"/>
          <w:color w:val="auto"/>
          <w:sz w:val="16"/>
          <w:lang w:val="es-ES_tradnl"/>
        </w:rPr>
        <w:t xml:space="preserve"> para</w:t>
      </w:r>
      <w:r w:rsidRPr="00977020">
        <w:rPr>
          <w:rFonts w:asciiTheme="minorHAnsi" w:hAnsiTheme="minorHAnsi" w:cstheme="minorHAnsi"/>
          <w:color w:val="auto"/>
          <w:sz w:val="16"/>
          <w:lang w:val="es-ES_tradnl"/>
        </w:rPr>
        <w:t xml:space="preserve"> jóvenes de 32 años o menos, siempre que su base imponible total, menos el mínimo personal y familiar, en su última declaración del IRPF no exceda de 36.000€.</w:t>
      </w:r>
    </w:p>
    <w:p w14:paraId="0FD33FFC" w14:textId="77777777" w:rsidR="00662FED" w:rsidRPr="00977020" w:rsidRDefault="00662FED" w:rsidP="003067FE">
      <w:pPr>
        <w:shd w:val="clear" w:color="auto" w:fill="auto"/>
        <w:spacing w:before="120" w:afterLines="100" w:after="240" w:line="276" w:lineRule="auto"/>
        <w:rPr>
          <w:rFonts w:asciiTheme="minorHAnsi" w:hAnsiTheme="minorHAnsi" w:cstheme="minorHAnsi"/>
          <w:color w:val="auto"/>
          <w:lang w:val="es-ES_tradnl"/>
        </w:rPr>
      </w:pPr>
    </w:p>
    <w:p w14:paraId="0F8B5A2C" w14:textId="3CB8BD5B" w:rsidR="00662FED" w:rsidRPr="00977020" w:rsidRDefault="00662FED" w:rsidP="003067FE">
      <w:pPr>
        <w:shd w:val="clear" w:color="auto" w:fill="auto"/>
        <w:spacing w:before="120" w:afterLines="100" w:after="240" w:line="276" w:lineRule="auto"/>
        <w:rPr>
          <w:rFonts w:asciiTheme="minorHAnsi" w:hAnsiTheme="minorHAnsi" w:cstheme="minorHAnsi"/>
          <w:color w:val="auto"/>
          <w:lang w:val="es-ES_tradnl"/>
        </w:rPr>
      </w:pPr>
    </w:p>
    <w:p w14:paraId="3F15CE02" w14:textId="77777777" w:rsidR="00662FED" w:rsidRPr="00977020" w:rsidRDefault="00662FED" w:rsidP="003067FE">
      <w:pPr>
        <w:spacing w:before="120" w:after="120"/>
        <w:ind w:firstLine="3"/>
        <w:rPr>
          <w:rFonts w:asciiTheme="minorHAnsi" w:hAnsiTheme="minorHAnsi" w:cstheme="minorHAnsi"/>
          <w:color w:val="auto"/>
          <w:sz w:val="20"/>
          <w:lang w:val="es-ES_tradnl"/>
        </w:rPr>
      </w:pPr>
      <w:r w:rsidRPr="00977020">
        <w:rPr>
          <w:rFonts w:asciiTheme="minorHAnsi" w:hAnsiTheme="minorHAnsi" w:cstheme="minorHAnsi"/>
          <w:color w:val="auto"/>
          <w:sz w:val="20"/>
          <w:lang w:val="es-ES_tradnl"/>
        </w:rPr>
        <w:t xml:space="preserve">- </w:t>
      </w:r>
      <w:r w:rsidRPr="00977020">
        <w:rPr>
          <w:rFonts w:asciiTheme="minorHAnsi" w:hAnsiTheme="minorHAnsi" w:cstheme="minorHAnsi"/>
          <w:color w:val="auto"/>
          <w:sz w:val="20"/>
          <w:u w:val="single"/>
          <w:lang w:val="es-ES_tradnl"/>
        </w:rPr>
        <w:t>Otros impuestos</w:t>
      </w:r>
      <w:r w:rsidRPr="00977020">
        <w:rPr>
          <w:rFonts w:asciiTheme="minorHAnsi" w:hAnsiTheme="minorHAnsi" w:cstheme="minorHAnsi"/>
          <w:color w:val="auto"/>
          <w:sz w:val="20"/>
          <w:lang w:val="es-ES_tradnl"/>
        </w:rPr>
        <w:t>:</w:t>
      </w:r>
    </w:p>
    <w:tbl>
      <w:tblPr>
        <w:tblW w:w="4655" w:type="dxa"/>
        <w:tblInd w:w="-5" w:type="dxa"/>
        <w:tblLook w:val="04A0" w:firstRow="1" w:lastRow="0" w:firstColumn="1" w:lastColumn="0" w:noHBand="0" w:noVBand="1"/>
      </w:tblPr>
      <w:tblGrid>
        <w:gridCol w:w="1735"/>
        <w:gridCol w:w="311"/>
        <w:gridCol w:w="2609"/>
      </w:tblGrid>
      <w:tr w:rsidR="00977020" w:rsidRPr="00977020" w14:paraId="48749A4E" w14:textId="77777777" w:rsidTr="0016248E">
        <w:trPr>
          <w:trHeight w:val="255"/>
        </w:trPr>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C8A3D" w14:textId="4B701797" w:rsidR="00662FED" w:rsidRPr="00977020" w:rsidRDefault="004029BB"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Número medid</w:t>
            </w:r>
            <w:r w:rsidR="00977020" w:rsidRPr="00977020">
              <w:rPr>
                <w:b/>
                <w:bCs/>
                <w:color w:val="auto"/>
                <w:sz w:val="18"/>
                <w:szCs w:val="18"/>
                <w:lang w:val="es-ES_tradnl"/>
              </w:rPr>
              <w:t>a</w:t>
            </w:r>
          </w:p>
        </w:tc>
        <w:tc>
          <w:tcPr>
            <w:tcW w:w="311" w:type="dxa"/>
            <w:tcBorders>
              <w:top w:val="nil"/>
              <w:left w:val="nil"/>
              <w:bottom w:val="nil"/>
              <w:right w:val="nil"/>
            </w:tcBorders>
            <w:shd w:val="clear" w:color="000000" w:fill="FFFFFF"/>
            <w:vAlign w:val="center"/>
            <w:hideMark/>
          </w:tcPr>
          <w:p w14:paraId="4A501150"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0B04"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Medida 10</w:t>
            </w:r>
          </w:p>
        </w:tc>
      </w:tr>
      <w:tr w:rsidR="00977020" w:rsidRPr="00977020" w14:paraId="6F0F5A3F" w14:textId="77777777" w:rsidTr="006965BC">
        <w:trPr>
          <w:trHeight w:val="556"/>
        </w:trPr>
        <w:tc>
          <w:tcPr>
            <w:tcW w:w="1735" w:type="dxa"/>
            <w:tcBorders>
              <w:top w:val="nil"/>
              <w:left w:val="single" w:sz="4" w:space="0" w:color="auto"/>
              <w:bottom w:val="single" w:sz="4" w:space="0" w:color="auto"/>
              <w:right w:val="single" w:sz="4" w:space="0" w:color="auto"/>
            </w:tcBorders>
            <w:shd w:val="clear" w:color="000000" w:fill="FFE699"/>
            <w:vAlign w:val="center"/>
            <w:hideMark/>
          </w:tcPr>
          <w:p w14:paraId="3C5073EF" w14:textId="33E883EC"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Impuesto</w:t>
            </w:r>
          </w:p>
        </w:tc>
        <w:tc>
          <w:tcPr>
            <w:tcW w:w="311" w:type="dxa"/>
            <w:tcBorders>
              <w:top w:val="nil"/>
              <w:left w:val="nil"/>
              <w:bottom w:val="nil"/>
              <w:right w:val="nil"/>
            </w:tcBorders>
            <w:shd w:val="clear" w:color="000000" w:fill="FFFFFF"/>
            <w:vAlign w:val="center"/>
            <w:hideMark/>
          </w:tcPr>
          <w:p w14:paraId="757C6A3E"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609" w:type="dxa"/>
            <w:tcBorders>
              <w:top w:val="nil"/>
              <w:left w:val="single" w:sz="4" w:space="0" w:color="auto"/>
              <w:bottom w:val="single" w:sz="4" w:space="0" w:color="auto"/>
              <w:right w:val="single" w:sz="4" w:space="0" w:color="auto"/>
            </w:tcBorders>
            <w:shd w:val="clear" w:color="000000" w:fill="FFE699"/>
            <w:vAlign w:val="center"/>
            <w:hideMark/>
          </w:tcPr>
          <w:p w14:paraId="4104C53C" w14:textId="77777777" w:rsidR="00662FED" w:rsidRPr="00977020" w:rsidRDefault="00662FED" w:rsidP="003067FE">
            <w:pPr>
              <w:shd w:val="clear" w:color="auto" w:fill="auto"/>
              <w:spacing w:after="0" w:line="240" w:lineRule="auto"/>
              <w:rPr>
                <w:b/>
                <w:bCs/>
                <w:color w:val="auto"/>
                <w:sz w:val="16"/>
                <w:szCs w:val="16"/>
                <w:lang w:val="es-ES_tradnl"/>
              </w:rPr>
            </w:pPr>
            <w:r w:rsidRPr="00977020">
              <w:rPr>
                <w:b/>
                <w:bCs/>
                <w:color w:val="auto"/>
                <w:sz w:val="16"/>
                <w:szCs w:val="16"/>
                <w:lang w:val="es-ES_tradnl"/>
              </w:rPr>
              <w:t>Impuesto sobre las emisiones de dióxido de carbono de los vehículos de tracción mecánica (CO2)</w:t>
            </w:r>
          </w:p>
        </w:tc>
      </w:tr>
      <w:tr w:rsidR="00977020" w:rsidRPr="00977020" w14:paraId="10CD9DDC" w14:textId="77777777" w:rsidTr="006965BC">
        <w:trPr>
          <w:trHeight w:val="255"/>
        </w:trPr>
        <w:tc>
          <w:tcPr>
            <w:tcW w:w="1735" w:type="dxa"/>
            <w:tcBorders>
              <w:top w:val="nil"/>
              <w:left w:val="single" w:sz="4" w:space="0" w:color="auto"/>
              <w:bottom w:val="single" w:sz="4" w:space="0" w:color="auto"/>
              <w:right w:val="single" w:sz="4" w:space="0" w:color="auto"/>
            </w:tcBorders>
            <w:shd w:val="clear" w:color="000000" w:fill="FFE699"/>
            <w:vAlign w:val="center"/>
            <w:hideMark/>
          </w:tcPr>
          <w:p w14:paraId="3B061FB8"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Medida</w:t>
            </w:r>
          </w:p>
        </w:tc>
        <w:tc>
          <w:tcPr>
            <w:tcW w:w="311" w:type="dxa"/>
            <w:tcBorders>
              <w:top w:val="nil"/>
              <w:left w:val="nil"/>
              <w:bottom w:val="nil"/>
              <w:right w:val="nil"/>
            </w:tcBorders>
            <w:shd w:val="clear" w:color="000000" w:fill="FFFFFF"/>
            <w:vAlign w:val="center"/>
            <w:hideMark/>
          </w:tcPr>
          <w:p w14:paraId="74FBA0FE"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609" w:type="dxa"/>
            <w:tcBorders>
              <w:top w:val="nil"/>
              <w:left w:val="single" w:sz="4" w:space="0" w:color="auto"/>
              <w:bottom w:val="single" w:sz="4" w:space="0" w:color="auto"/>
              <w:right w:val="single" w:sz="4" w:space="0" w:color="auto"/>
            </w:tcBorders>
            <w:shd w:val="clear" w:color="000000" w:fill="FFE699"/>
            <w:vAlign w:val="center"/>
            <w:hideMark/>
          </w:tcPr>
          <w:p w14:paraId="745C3797" w14:textId="77777777" w:rsidR="00662FED" w:rsidRPr="00977020" w:rsidRDefault="00662FED" w:rsidP="003067FE">
            <w:pPr>
              <w:shd w:val="clear" w:color="auto" w:fill="auto"/>
              <w:spacing w:after="0" w:line="240" w:lineRule="auto"/>
              <w:rPr>
                <w:b/>
                <w:bCs/>
                <w:color w:val="auto"/>
                <w:sz w:val="18"/>
                <w:szCs w:val="18"/>
                <w:lang w:val="es-ES_tradnl"/>
              </w:rPr>
            </w:pPr>
            <w:r w:rsidRPr="00977020">
              <w:rPr>
                <w:b/>
                <w:bCs/>
                <w:color w:val="auto"/>
                <w:sz w:val="18"/>
                <w:szCs w:val="18"/>
                <w:lang w:val="es-ES_tradnl"/>
              </w:rPr>
              <w:t>Duplicar la actual tarifa</w:t>
            </w:r>
          </w:p>
        </w:tc>
      </w:tr>
      <w:tr w:rsidR="00977020" w:rsidRPr="00977020" w14:paraId="25BB4101" w14:textId="77777777" w:rsidTr="006965BC">
        <w:trPr>
          <w:trHeight w:val="255"/>
        </w:trPr>
        <w:tc>
          <w:tcPr>
            <w:tcW w:w="1735" w:type="dxa"/>
            <w:tcBorders>
              <w:top w:val="nil"/>
              <w:left w:val="single" w:sz="4" w:space="0" w:color="auto"/>
              <w:bottom w:val="single" w:sz="4" w:space="0" w:color="auto"/>
              <w:right w:val="single" w:sz="4" w:space="0" w:color="auto"/>
            </w:tcBorders>
            <w:shd w:val="clear" w:color="000000" w:fill="D9D9D9"/>
            <w:vAlign w:val="center"/>
            <w:hideMark/>
          </w:tcPr>
          <w:p w14:paraId="3B2DBA18" w14:textId="77777777" w:rsidR="00662FED" w:rsidRPr="00977020" w:rsidRDefault="00662FED" w:rsidP="003067FE">
            <w:pPr>
              <w:shd w:val="clear" w:color="auto" w:fill="auto"/>
              <w:spacing w:after="0" w:line="240" w:lineRule="auto"/>
              <w:ind w:firstLineChars="100" w:firstLine="180"/>
              <w:rPr>
                <w:color w:val="auto"/>
                <w:sz w:val="18"/>
                <w:szCs w:val="18"/>
                <w:lang w:val="es-ES_tradnl"/>
              </w:rPr>
            </w:pPr>
            <w:r w:rsidRPr="00977020">
              <w:rPr>
                <w:color w:val="auto"/>
                <w:sz w:val="18"/>
                <w:szCs w:val="18"/>
                <w:lang w:val="es-ES_tradnl"/>
              </w:rPr>
              <w:t>Tipo de medida</w:t>
            </w:r>
          </w:p>
        </w:tc>
        <w:tc>
          <w:tcPr>
            <w:tcW w:w="311" w:type="dxa"/>
            <w:tcBorders>
              <w:top w:val="nil"/>
              <w:left w:val="nil"/>
              <w:bottom w:val="nil"/>
              <w:right w:val="nil"/>
            </w:tcBorders>
            <w:shd w:val="clear" w:color="000000" w:fill="FFFFFF"/>
            <w:vAlign w:val="center"/>
            <w:hideMark/>
          </w:tcPr>
          <w:p w14:paraId="6448F4E5"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609" w:type="dxa"/>
            <w:tcBorders>
              <w:top w:val="nil"/>
              <w:left w:val="single" w:sz="4" w:space="0" w:color="auto"/>
              <w:bottom w:val="single" w:sz="4" w:space="0" w:color="auto"/>
              <w:right w:val="single" w:sz="4" w:space="0" w:color="auto"/>
            </w:tcBorders>
            <w:shd w:val="clear" w:color="000000" w:fill="D9D9D9"/>
            <w:vAlign w:val="center"/>
            <w:hideMark/>
          </w:tcPr>
          <w:p w14:paraId="5DE7EEA6"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Incremento de tarifa</w:t>
            </w:r>
          </w:p>
        </w:tc>
      </w:tr>
      <w:tr w:rsidR="00977020" w:rsidRPr="00977020" w14:paraId="2102C9EE" w14:textId="77777777" w:rsidTr="006965BC">
        <w:trPr>
          <w:trHeight w:val="352"/>
        </w:trPr>
        <w:tc>
          <w:tcPr>
            <w:tcW w:w="1735" w:type="dxa"/>
            <w:tcBorders>
              <w:top w:val="nil"/>
              <w:left w:val="single" w:sz="4" w:space="0" w:color="auto"/>
              <w:bottom w:val="single" w:sz="4" w:space="0" w:color="auto"/>
              <w:right w:val="single" w:sz="4" w:space="0" w:color="auto"/>
            </w:tcBorders>
            <w:shd w:val="clear" w:color="000000" w:fill="E2EFDA"/>
            <w:vAlign w:val="center"/>
            <w:hideMark/>
          </w:tcPr>
          <w:p w14:paraId="1BB99004"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Impacto presupuestario (millones de euros)</w:t>
            </w:r>
          </w:p>
        </w:tc>
        <w:tc>
          <w:tcPr>
            <w:tcW w:w="311" w:type="dxa"/>
            <w:tcBorders>
              <w:top w:val="nil"/>
              <w:left w:val="nil"/>
              <w:bottom w:val="nil"/>
              <w:right w:val="nil"/>
            </w:tcBorders>
            <w:shd w:val="clear" w:color="000000" w:fill="FFFFFF"/>
            <w:vAlign w:val="center"/>
            <w:hideMark/>
          </w:tcPr>
          <w:p w14:paraId="38D6BC53"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609" w:type="dxa"/>
            <w:tcBorders>
              <w:top w:val="nil"/>
              <w:left w:val="single" w:sz="4" w:space="0" w:color="auto"/>
              <w:bottom w:val="single" w:sz="4" w:space="0" w:color="auto"/>
              <w:right w:val="single" w:sz="4" w:space="0" w:color="auto"/>
            </w:tcBorders>
            <w:shd w:val="clear" w:color="000000" w:fill="E2EFDA"/>
            <w:vAlign w:val="center"/>
            <w:hideMark/>
          </w:tcPr>
          <w:p w14:paraId="210391F3" w14:textId="77777777" w:rsidR="00662FED" w:rsidRPr="00977020" w:rsidRDefault="00662FED" w:rsidP="003067FE">
            <w:pPr>
              <w:shd w:val="clear" w:color="auto" w:fill="auto"/>
              <w:spacing w:after="0" w:line="240" w:lineRule="auto"/>
              <w:rPr>
                <w:b/>
                <w:bCs/>
                <w:color w:val="auto"/>
                <w:sz w:val="24"/>
                <w:szCs w:val="24"/>
                <w:lang w:val="es-ES_tradnl"/>
              </w:rPr>
            </w:pPr>
            <w:r w:rsidRPr="00977020">
              <w:rPr>
                <w:b/>
                <w:bCs/>
                <w:color w:val="auto"/>
                <w:sz w:val="24"/>
                <w:szCs w:val="24"/>
                <w:lang w:val="es-ES_tradnl"/>
              </w:rPr>
              <w:t>51,2</w:t>
            </w:r>
          </w:p>
        </w:tc>
      </w:tr>
      <w:tr w:rsidR="00977020" w:rsidRPr="00977020" w14:paraId="3AE65335" w14:textId="77777777" w:rsidTr="006965BC">
        <w:trPr>
          <w:trHeight w:val="352"/>
        </w:trPr>
        <w:tc>
          <w:tcPr>
            <w:tcW w:w="1735" w:type="dxa"/>
            <w:tcBorders>
              <w:top w:val="nil"/>
              <w:left w:val="single" w:sz="4" w:space="0" w:color="auto"/>
              <w:bottom w:val="single" w:sz="4" w:space="0" w:color="F4B084"/>
              <w:right w:val="single" w:sz="4" w:space="0" w:color="auto"/>
            </w:tcBorders>
            <w:shd w:val="clear" w:color="000000" w:fill="FCE4D6"/>
            <w:vAlign w:val="center"/>
            <w:hideMark/>
          </w:tcPr>
          <w:p w14:paraId="03098136" w14:textId="35F20343"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N</w:t>
            </w:r>
            <w:r w:rsidR="00977020" w:rsidRPr="00977020">
              <w:rPr>
                <w:color w:val="auto"/>
                <w:sz w:val="16"/>
                <w:szCs w:val="16"/>
                <w:lang w:val="es-ES_tradnl"/>
              </w:rPr>
              <w:t>úmero de</w:t>
            </w:r>
            <w:r w:rsidRPr="00977020">
              <w:rPr>
                <w:color w:val="auto"/>
                <w:sz w:val="16"/>
                <w:szCs w:val="16"/>
                <w:lang w:val="es-ES_tradnl"/>
              </w:rPr>
              <w:t xml:space="preserve"> contribuyentes afectados (</w:t>
            </w:r>
            <w:r w:rsidR="00977020" w:rsidRPr="00977020">
              <w:rPr>
                <w:color w:val="auto"/>
                <w:sz w:val="16"/>
                <w:szCs w:val="16"/>
                <w:lang w:val="es-ES_tradnl"/>
              </w:rPr>
              <w:t>estimación</w:t>
            </w:r>
            <w:r w:rsidRPr="00977020">
              <w:rPr>
                <w:color w:val="auto"/>
                <w:sz w:val="16"/>
                <w:szCs w:val="16"/>
                <w:lang w:val="es-ES_tradnl"/>
              </w:rPr>
              <w:t>)</w:t>
            </w:r>
          </w:p>
        </w:tc>
        <w:tc>
          <w:tcPr>
            <w:tcW w:w="311" w:type="dxa"/>
            <w:tcBorders>
              <w:top w:val="nil"/>
              <w:left w:val="nil"/>
              <w:bottom w:val="nil"/>
              <w:right w:val="nil"/>
            </w:tcBorders>
            <w:shd w:val="clear" w:color="000000" w:fill="FFFFFF"/>
            <w:vAlign w:val="center"/>
            <w:hideMark/>
          </w:tcPr>
          <w:p w14:paraId="1EAEAE9D"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609" w:type="dxa"/>
            <w:tcBorders>
              <w:top w:val="nil"/>
              <w:left w:val="single" w:sz="4" w:space="0" w:color="auto"/>
              <w:bottom w:val="single" w:sz="4" w:space="0" w:color="F4B084"/>
              <w:right w:val="single" w:sz="4" w:space="0" w:color="auto"/>
            </w:tcBorders>
            <w:shd w:val="clear" w:color="000000" w:fill="FCE4D6"/>
            <w:vAlign w:val="center"/>
            <w:hideMark/>
          </w:tcPr>
          <w:p w14:paraId="2E6D8725" w14:textId="77777777" w:rsidR="00662FED" w:rsidRPr="00977020" w:rsidRDefault="00662FED" w:rsidP="003067FE">
            <w:pPr>
              <w:shd w:val="clear" w:color="auto" w:fill="auto"/>
              <w:spacing w:after="0" w:line="240" w:lineRule="auto"/>
              <w:rPr>
                <w:color w:val="auto"/>
                <w:lang w:val="es-ES_tradnl"/>
              </w:rPr>
            </w:pPr>
            <w:r w:rsidRPr="00977020">
              <w:rPr>
                <w:color w:val="auto"/>
                <w:lang w:val="es-ES_tradnl"/>
              </w:rPr>
              <w:t>1.508.181</w:t>
            </w:r>
          </w:p>
        </w:tc>
      </w:tr>
      <w:tr w:rsidR="00977020" w:rsidRPr="00977020" w14:paraId="4EDC864F" w14:textId="77777777" w:rsidTr="006965BC">
        <w:trPr>
          <w:trHeight w:val="352"/>
        </w:trPr>
        <w:tc>
          <w:tcPr>
            <w:tcW w:w="1735" w:type="dxa"/>
            <w:tcBorders>
              <w:top w:val="nil"/>
              <w:left w:val="single" w:sz="4" w:space="0" w:color="auto"/>
              <w:bottom w:val="single" w:sz="4" w:space="0" w:color="auto"/>
              <w:right w:val="single" w:sz="4" w:space="0" w:color="auto"/>
            </w:tcBorders>
            <w:shd w:val="clear" w:color="000000" w:fill="FCE4D6"/>
            <w:vAlign w:val="center"/>
            <w:hideMark/>
          </w:tcPr>
          <w:p w14:paraId="3112FE02" w14:textId="77777777" w:rsidR="00662FED" w:rsidRPr="00977020" w:rsidRDefault="00662FED" w:rsidP="003067FE">
            <w:pPr>
              <w:shd w:val="clear" w:color="auto" w:fill="auto"/>
              <w:spacing w:after="0" w:line="240" w:lineRule="auto"/>
              <w:ind w:firstLineChars="100" w:firstLine="160"/>
              <w:rPr>
                <w:color w:val="auto"/>
                <w:sz w:val="16"/>
                <w:szCs w:val="16"/>
                <w:lang w:val="es-ES_tradnl"/>
              </w:rPr>
            </w:pPr>
            <w:r w:rsidRPr="00977020">
              <w:rPr>
                <w:color w:val="auto"/>
                <w:sz w:val="16"/>
                <w:szCs w:val="16"/>
                <w:lang w:val="es-ES_tradnl"/>
              </w:rPr>
              <w:t>Importe por contribuyente afectado (€)</w:t>
            </w:r>
          </w:p>
        </w:tc>
        <w:tc>
          <w:tcPr>
            <w:tcW w:w="311" w:type="dxa"/>
            <w:tcBorders>
              <w:top w:val="nil"/>
              <w:left w:val="nil"/>
              <w:bottom w:val="nil"/>
              <w:right w:val="nil"/>
            </w:tcBorders>
            <w:shd w:val="clear" w:color="000000" w:fill="FFFFFF"/>
            <w:vAlign w:val="center"/>
            <w:hideMark/>
          </w:tcPr>
          <w:p w14:paraId="40A75FD4" w14:textId="77777777" w:rsidR="00662FED" w:rsidRPr="00977020" w:rsidRDefault="00662FED" w:rsidP="003067FE">
            <w:pPr>
              <w:shd w:val="clear" w:color="auto" w:fill="auto"/>
              <w:spacing w:after="0" w:line="240" w:lineRule="auto"/>
              <w:rPr>
                <w:color w:val="auto"/>
                <w:sz w:val="18"/>
                <w:szCs w:val="18"/>
                <w:lang w:val="es-ES_tradnl"/>
              </w:rPr>
            </w:pPr>
            <w:r w:rsidRPr="00977020">
              <w:rPr>
                <w:color w:val="auto"/>
                <w:sz w:val="18"/>
                <w:szCs w:val="18"/>
                <w:lang w:val="es-ES_tradnl"/>
              </w:rPr>
              <w:t> </w:t>
            </w:r>
          </w:p>
        </w:tc>
        <w:tc>
          <w:tcPr>
            <w:tcW w:w="2609" w:type="dxa"/>
            <w:tcBorders>
              <w:top w:val="nil"/>
              <w:left w:val="single" w:sz="4" w:space="0" w:color="auto"/>
              <w:bottom w:val="single" w:sz="4" w:space="0" w:color="auto"/>
              <w:right w:val="single" w:sz="4" w:space="0" w:color="auto"/>
            </w:tcBorders>
            <w:shd w:val="clear" w:color="000000" w:fill="FCE4D6"/>
            <w:vAlign w:val="center"/>
            <w:hideMark/>
          </w:tcPr>
          <w:p w14:paraId="70141E55" w14:textId="77777777" w:rsidR="00662FED" w:rsidRPr="00977020" w:rsidRDefault="00662FED" w:rsidP="003067FE">
            <w:pPr>
              <w:shd w:val="clear" w:color="auto" w:fill="auto"/>
              <w:spacing w:after="0" w:line="240" w:lineRule="auto"/>
              <w:rPr>
                <w:color w:val="auto"/>
                <w:lang w:val="es-ES_tradnl"/>
              </w:rPr>
            </w:pPr>
            <w:r w:rsidRPr="00977020">
              <w:rPr>
                <w:color w:val="auto"/>
                <w:lang w:val="es-ES_tradnl"/>
              </w:rPr>
              <w:t xml:space="preserve">34 </w:t>
            </w:r>
          </w:p>
        </w:tc>
      </w:tr>
    </w:tbl>
    <w:p w14:paraId="16452F31" w14:textId="7B520014" w:rsidR="00662FED" w:rsidRPr="00977020" w:rsidRDefault="00662FED" w:rsidP="003067FE">
      <w:pPr>
        <w:shd w:val="clear" w:color="auto" w:fill="auto"/>
        <w:spacing w:before="120" w:afterLines="100" w:after="240" w:line="276" w:lineRule="auto"/>
        <w:rPr>
          <w:rFonts w:asciiTheme="minorHAnsi" w:hAnsiTheme="minorHAnsi" w:cstheme="minorHAnsi"/>
          <w:color w:val="auto"/>
          <w:lang w:val="es-ES_tradnl"/>
        </w:rPr>
      </w:pPr>
    </w:p>
    <w:p w14:paraId="13DA05EA" w14:textId="77777777" w:rsidR="00FE2E20" w:rsidRPr="00977020" w:rsidRDefault="00FE2E20" w:rsidP="003067FE">
      <w:pPr>
        <w:shd w:val="clear" w:color="auto" w:fill="auto"/>
        <w:spacing w:before="120" w:afterLines="100" w:after="240" w:line="276" w:lineRule="auto"/>
        <w:rPr>
          <w:rFonts w:asciiTheme="minorHAnsi" w:hAnsiTheme="minorHAnsi" w:cstheme="minorHAnsi"/>
          <w:color w:val="auto"/>
          <w:lang w:val="es-ES_tradnl"/>
        </w:rPr>
      </w:pPr>
    </w:p>
    <w:p w14:paraId="14855D69" w14:textId="3B36FE46" w:rsidR="0065445D" w:rsidRPr="00977020" w:rsidRDefault="0065445D" w:rsidP="003067FE">
      <w:pPr>
        <w:spacing w:before="120" w:after="120"/>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Por otra parte, desde la vertiente de los </w:t>
      </w:r>
      <w:r w:rsidRPr="00977020">
        <w:rPr>
          <w:rFonts w:asciiTheme="minorHAnsi" w:hAnsiTheme="minorHAnsi" w:cstheme="minorHAnsi"/>
          <w:b/>
          <w:color w:val="auto"/>
          <w:lang w:val="es-ES_tradnl"/>
        </w:rPr>
        <w:t>gastos</w:t>
      </w:r>
      <w:r w:rsidRPr="00977020">
        <w:rPr>
          <w:rFonts w:asciiTheme="minorHAnsi" w:hAnsiTheme="minorHAnsi" w:cstheme="minorHAnsi"/>
          <w:color w:val="auto"/>
          <w:lang w:val="es-ES_tradnl"/>
        </w:rPr>
        <w:t>, se proporciona la siguiente relación de a</w:t>
      </w:r>
      <w:r w:rsidRPr="00977020">
        <w:rPr>
          <w:rFonts w:asciiTheme="minorHAnsi" w:hAnsiTheme="minorHAnsi" w:cstheme="minorHAnsi"/>
          <w:b/>
          <w:color w:val="auto"/>
          <w:lang w:val="es-ES_tradnl"/>
        </w:rPr>
        <w:t>grupaciones de políticas públicas</w:t>
      </w:r>
      <w:r w:rsidRPr="00977020">
        <w:rPr>
          <w:rFonts w:asciiTheme="minorHAnsi" w:hAnsiTheme="minorHAnsi" w:cstheme="minorHAnsi"/>
          <w:color w:val="auto"/>
          <w:lang w:val="es-ES_tradnl"/>
        </w:rPr>
        <w:t xml:space="preserve">, basadas en la clasificación por programas del presupuesto, con sus </w:t>
      </w:r>
      <w:r w:rsidRPr="00977020">
        <w:rPr>
          <w:rFonts w:asciiTheme="minorHAnsi" w:hAnsiTheme="minorHAnsi" w:cstheme="minorHAnsi"/>
          <w:b/>
          <w:color w:val="auto"/>
          <w:lang w:val="es-ES_tradnl"/>
        </w:rPr>
        <w:t xml:space="preserve">importes </w:t>
      </w:r>
      <w:r w:rsidRPr="00977020">
        <w:rPr>
          <w:rFonts w:asciiTheme="minorHAnsi" w:hAnsiTheme="minorHAnsi" w:cstheme="minorHAnsi"/>
          <w:color w:val="auto"/>
          <w:lang w:val="es-ES_tradnl"/>
        </w:rPr>
        <w:t xml:space="preserve">(en millones de euros) en el </w:t>
      </w:r>
      <w:r w:rsidRPr="00977020">
        <w:rPr>
          <w:rFonts w:asciiTheme="minorHAnsi" w:hAnsiTheme="minorHAnsi" w:cstheme="minorHAnsi"/>
          <w:b/>
          <w:color w:val="auto"/>
          <w:lang w:val="es-ES_tradnl"/>
        </w:rPr>
        <w:t>Presupuesto 2023</w:t>
      </w:r>
      <w:r w:rsidRPr="00977020">
        <w:rPr>
          <w:rFonts w:asciiTheme="minorHAnsi" w:hAnsiTheme="minorHAnsi" w:cstheme="minorHAnsi"/>
          <w:color w:val="auto"/>
          <w:lang w:val="es-ES_tradnl"/>
        </w:rPr>
        <w:t xml:space="preserve"> de la Generalitat de Catalunya. Estos importes muestran las asignaciones totales para cada respectiva agrupación de políticas, pero hace falta tener en cuenta el elevado grado de rigidez</w:t>
      </w:r>
      <w:r w:rsidR="00FE2E20" w:rsidRPr="00977020">
        <w:rPr>
          <w:rFonts w:asciiTheme="minorHAnsi" w:hAnsiTheme="minorHAnsi" w:cstheme="minorHAnsi"/>
          <w:color w:val="auto"/>
          <w:lang w:val="es-ES_tradnl"/>
        </w:rPr>
        <w:t xml:space="preserve"> y el poco margen de ajuste</w:t>
      </w:r>
      <w:r w:rsidRPr="00977020">
        <w:rPr>
          <w:rFonts w:asciiTheme="minorHAnsi" w:hAnsiTheme="minorHAnsi" w:cstheme="minorHAnsi"/>
          <w:color w:val="auto"/>
          <w:lang w:val="es-ES_tradnl"/>
        </w:rPr>
        <w:t xml:space="preserve"> </w:t>
      </w:r>
      <w:r w:rsidR="00FE2E20" w:rsidRPr="00977020">
        <w:rPr>
          <w:rFonts w:asciiTheme="minorHAnsi" w:hAnsiTheme="minorHAnsi" w:cstheme="minorHAnsi"/>
          <w:color w:val="auto"/>
          <w:lang w:val="es-ES_tradnl"/>
        </w:rPr>
        <w:t xml:space="preserve">en </w:t>
      </w:r>
      <w:r w:rsidR="00A37C78" w:rsidRPr="00977020">
        <w:rPr>
          <w:rFonts w:asciiTheme="minorHAnsi" w:hAnsiTheme="minorHAnsi" w:cstheme="minorHAnsi"/>
          <w:color w:val="auto"/>
          <w:lang w:val="es-ES_tradnl"/>
        </w:rPr>
        <w:t>muchos casos</w:t>
      </w:r>
      <w:r w:rsidR="00FE2E20" w:rsidRPr="00977020">
        <w:rPr>
          <w:rFonts w:asciiTheme="minorHAnsi" w:hAnsiTheme="minorHAnsi" w:cstheme="minorHAnsi"/>
          <w:color w:val="auto"/>
          <w:lang w:val="es-ES_tradnl"/>
        </w:rPr>
        <w:t xml:space="preserve">, </w:t>
      </w:r>
      <w:r w:rsidR="006B150D" w:rsidRPr="00977020">
        <w:rPr>
          <w:rFonts w:asciiTheme="minorHAnsi" w:hAnsiTheme="minorHAnsi" w:cstheme="minorHAnsi"/>
          <w:color w:val="auto"/>
          <w:lang w:val="es-ES_tradnl"/>
        </w:rPr>
        <w:t>y</w:t>
      </w:r>
      <w:r w:rsidR="00FE2E20" w:rsidRPr="00977020">
        <w:rPr>
          <w:rFonts w:asciiTheme="minorHAnsi" w:hAnsiTheme="minorHAnsi" w:cstheme="minorHAnsi"/>
          <w:color w:val="auto"/>
          <w:lang w:val="es-ES_tradnl"/>
        </w:rPr>
        <w:t xml:space="preserve"> la existencia de múltiples compromisos de gasto</w:t>
      </w:r>
      <w:r w:rsidR="006B150D" w:rsidRPr="00977020">
        <w:rPr>
          <w:rFonts w:asciiTheme="minorHAnsi" w:hAnsiTheme="minorHAnsi" w:cstheme="minorHAnsi"/>
          <w:color w:val="auto"/>
          <w:lang w:val="es-ES_tradnl"/>
        </w:rPr>
        <w:t xml:space="preserve"> para</w:t>
      </w:r>
      <w:r w:rsidR="00FE2E20" w:rsidRPr="00977020">
        <w:rPr>
          <w:rFonts w:asciiTheme="minorHAnsi" w:hAnsiTheme="minorHAnsi" w:cstheme="minorHAnsi"/>
          <w:color w:val="auto"/>
          <w:lang w:val="es-ES_tradnl"/>
        </w:rPr>
        <w:t xml:space="preserve"> contratos y convenios ya acordados, el pago de los intereses de la deuda, los gastos financiados con fondo/ingresos acondicionados, así como de otros gastos relevantes de difícil ajuste a corto plazo.</w:t>
      </w:r>
    </w:p>
    <w:p w14:paraId="437F14AA" w14:textId="389C0D66" w:rsidR="00103ED4" w:rsidRPr="00977020" w:rsidRDefault="00103ED4" w:rsidP="003067FE">
      <w:pPr>
        <w:spacing w:before="120" w:after="120"/>
        <w:rPr>
          <w:rFonts w:asciiTheme="minorHAnsi" w:hAnsiTheme="minorHAnsi" w:cstheme="minorHAnsi"/>
          <w:color w:val="auto"/>
          <w:lang w:val="es-ES_tradnl"/>
        </w:rPr>
      </w:pPr>
    </w:p>
    <w:p w14:paraId="55BAD214" w14:textId="23498D37" w:rsidR="00103ED4" w:rsidRPr="00977020" w:rsidRDefault="0065445D" w:rsidP="003067FE">
      <w:pPr>
        <w:spacing w:before="120" w:after="120"/>
        <w:rPr>
          <w:rFonts w:asciiTheme="minorHAnsi" w:hAnsiTheme="minorHAnsi" w:cstheme="minorHAnsi"/>
          <w:color w:val="auto"/>
          <w:lang w:val="es-ES_tradnl"/>
        </w:rPr>
      </w:pPr>
      <w:bookmarkStart w:id="0" w:name="_GoBack"/>
      <w:r w:rsidRPr="00977020">
        <w:rPr>
          <w:rFonts w:asciiTheme="minorHAnsi" w:hAnsiTheme="minorHAnsi" w:cstheme="minorHAnsi"/>
          <w:noProof/>
          <w:color w:val="auto"/>
        </w:rPr>
        <w:drawing>
          <wp:inline distT="0" distB="0" distL="0" distR="0" wp14:anchorId="57BB3C5D" wp14:editId="06D82C5E">
            <wp:extent cx="5943600" cy="7070196"/>
            <wp:effectExtent l="0" t="0" r="0" b="0"/>
            <wp:docPr id="3" name="Imatge 3" descr="Gastos por agrupaciones de polí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 3" descr="Gastos por agrupaciones de política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386" r="11894"/>
                    <a:stretch/>
                  </pic:blipFill>
                  <pic:spPr bwMode="auto">
                    <a:xfrm>
                      <a:off x="0" y="0"/>
                      <a:ext cx="5955987" cy="708493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0F186380" w14:textId="0E28CD0C" w:rsidR="00662FED" w:rsidRPr="00977020" w:rsidRDefault="00662FED" w:rsidP="003067FE">
      <w:pPr>
        <w:shd w:val="clear" w:color="auto" w:fill="auto"/>
        <w:spacing w:before="120" w:afterLines="100" w:after="240" w:line="276" w:lineRule="auto"/>
        <w:ind w:right="850" w:hanging="993"/>
        <w:rPr>
          <w:rFonts w:asciiTheme="minorHAnsi" w:hAnsiTheme="minorHAnsi" w:cstheme="minorHAnsi"/>
          <w:color w:val="auto"/>
          <w:lang w:val="es-ES_tradnl"/>
        </w:rPr>
      </w:pPr>
    </w:p>
    <w:p w14:paraId="0C95419C" w14:textId="5A4AD058" w:rsidR="00D1115C" w:rsidRPr="00977020" w:rsidRDefault="00D1115C" w:rsidP="003067FE">
      <w:pPr>
        <w:spacing w:beforeLines="120" w:before="288" w:afterLines="120" w:after="288"/>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En el lado de los gastos, el debate se centra en la </w:t>
      </w:r>
      <w:r w:rsidRPr="00977020">
        <w:rPr>
          <w:rFonts w:asciiTheme="minorHAnsi" w:hAnsiTheme="minorHAnsi" w:cstheme="minorHAnsi"/>
          <w:b/>
          <w:color w:val="auto"/>
          <w:lang w:val="es-ES_tradnl"/>
        </w:rPr>
        <w:t>identificación/selección</w:t>
      </w:r>
      <w:r w:rsidRPr="00977020">
        <w:rPr>
          <w:rFonts w:asciiTheme="minorHAnsi" w:hAnsiTheme="minorHAnsi" w:cstheme="minorHAnsi"/>
          <w:color w:val="auto"/>
          <w:lang w:val="es-ES_tradnl"/>
        </w:rPr>
        <w:t xml:space="preserve"> de aquellas </w:t>
      </w:r>
      <w:r w:rsidRPr="00977020">
        <w:rPr>
          <w:rFonts w:asciiTheme="minorHAnsi" w:hAnsiTheme="minorHAnsi" w:cstheme="minorHAnsi"/>
          <w:b/>
          <w:color w:val="auto"/>
          <w:lang w:val="es-ES_tradnl"/>
        </w:rPr>
        <w:t>agrupaciones de políticas públicas</w:t>
      </w:r>
      <w:r w:rsidRPr="00977020">
        <w:rPr>
          <w:rFonts w:asciiTheme="minorHAnsi" w:hAnsiTheme="minorHAnsi" w:cstheme="minorHAnsi"/>
          <w:color w:val="auto"/>
          <w:lang w:val="es-ES_tradnl"/>
        </w:rPr>
        <w:t xml:space="preserve"> que se puedan considerar </w:t>
      </w:r>
      <w:r w:rsidRPr="00977020">
        <w:rPr>
          <w:rFonts w:asciiTheme="minorHAnsi" w:hAnsiTheme="minorHAnsi" w:cstheme="minorHAnsi"/>
          <w:b/>
          <w:color w:val="auto"/>
          <w:lang w:val="es-ES_tradnl"/>
        </w:rPr>
        <w:t>menos prioritarias y/o con capacidad de obtener ahorros y liberar recursos</w:t>
      </w:r>
      <w:r w:rsidRPr="00977020">
        <w:rPr>
          <w:rFonts w:asciiTheme="minorHAnsi" w:hAnsiTheme="minorHAnsi" w:cstheme="minorHAnsi"/>
          <w:color w:val="auto"/>
          <w:lang w:val="es-ES_tradnl"/>
        </w:rPr>
        <w:t xml:space="preserve"> para financiar nuevas iniciativas prioritarias.</w:t>
      </w:r>
    </w:p>
    <w:p w14:paraId="5502AF93" w14:textId="77777777" w:rsidR="00D1115C" w:rsidRPr="00977020" w:rsidRDefault="00D1115C" w:rsidP="003067FE">
      <w:pPr>
        <w:spacing w:beforeLines="120" w:before="288" w:afterLines="120" w:after="288"/>
        <w:rPr>
          <w:rFonts w:asciiTheme="minorHAnsi" w:hAnsiTheme="minorHAnsi" w:cstheme="minorHAnsi"/>
          <w:color w:val="auto"/>
          <w:lang w:val="es-ES_tradnl"/>
        </w:rPr>
      </w:pPr>
      <w:r w:rsidRPr="00977020">
        <w:rPr>
          <w:rFonts w:asciiTheme="minorHAnsi" w:hAnsiTheme="minorHAnsi" w:cstheme="minorHAnsi"/>
          <w:color w:val="auto"/>
          <w:lang w:val="es-ES_tradnl"/>
        </w:rPr>
        <w:t xml:space="preserve">El </w:t>
      </w:r>
      <w:r w:rsidRPr="00977020">
        <w:rPr>
          <w:rFonts w:asciiTheme="minorHAnsi" w:hAnsiTheme="minorHAnsi" w:cstheme="minorHAnsi"/>
          <w:b/>
          <w:color w:val="auto"/>
          <w:lang w:val="es-ES_tradnl"/>
        </w:rPr>
        <w:t xml:space="preserve">resultado esperado de este eje de debate </w:t>
      </w:r>
      <w:r w:rsidRPr="00977020">
        <w:rPr>
          <w:rFonts w:asciiTheme="minorHAnsi" w:hAnsiTheme="minorHAnsi" w:cstheme="minorHAnsi"/>
          <w:color w:val="auto"/>
          <w:lang w:val="es-ES_tradnl"/>
        </w:rPr>
        <w:t xml:space="preserve">es la obtención de una </w:t>
      </w:r>
      <w:r w:rsidRPr="00977020">
        <w:rPr>
          <w:rFonts w:asciiTheme="minorHAnsi" w:hAnsiTheme="minorHAnsi" w:cstheme="minorHAnsi"/>
          <w:b/>
          <w:color w:val="auto"/>
          <w:lang w:val="es-ES_tradnl"/>
        </w:rPr>
        <w:t>selección</w:t>
      </w:r>
      <w:r w:rsidRPr="00977020">
        <w:rPr>
          <w:rFonts w:asciiTheme="minorHAnsi" w:hAnsiTheme="minorHAnsi" w:cstheme="minorHAnsi"/>
          <w:color w:val="auto"/>
          <w:lang w:val="es-ES_tradnl"/>
        </w:rPr>
        <w:t xml:space="preserve"> de aquellas </w:t>
      </w:r>
      <w:r w:rsidRPr="00977020">
        <w:rPr>
          <w:rFonts w:asciiTheme="minorHAnsi" w:hAnsiTheme="minorHAnsi" w:cstheme="minorHAnsi"/>
          <w:b/>
          <w:color w:val="auto"/>
          <w:lang w:val="es-ES_tradnl"/>
        </w:rPr>
        <w:t>medidas de incremento de ingresos más preferidas</w:t>
      </w:r>
      <w:r w:rsidRPr="00977020">
        <w:rPr>
          <w:rFonts w:asciiTheme="minorHAnsi" w:hAnsiTheme="minorHAnsi" w:cstheme="minorHAnsi"/>
          <w:color w:val="auto"/>
          <w:lang w:val="es-ES_tradnl"/>
        </w:rPr>
        <w:t xml:space="preserve">, así como de aquellas </w:t>
      </w:r>
      <w:r w:rsidRPr="00977020">
        <w:rPr>
          <w:rFonts w:asciiTheme="minorHAnsi" w:hAnsiTheme="minorHAnsi" w:cstheme="minorHAnsi"/>
          <w:b/>
          <w:color w:val="auto"/>
          <w:lang w:val="es-ES_tradnl"/>
        </w:rPr>
        <w:t>agrupaciones de políticas de gasto</w:t>
      </w:r>
      <w:r w:rsidRPr="00977020">
        <w:rPr>
          <w:rFonts w:asciiTheme="minorHAnsi" w:hAnsiTheme="minorHAnsi" w:cstheme="minorHAnsi"/>
          <w:color w:val="auto"/>
          <w:lang w:val="es-ES_tradnl"/>
        </w:rPr>
        <w:t xml:space="preserve"> que se consideran </w:t>
      </w:r>
      <w:r w:rsidRPr="00977020">
        <w:rPr>
          <w:rFonts w:asciiTheme="minorHAnsi" w:hAnsiTheme="minorHAnsi" w:cstheme="minorHAnsi"/>
          <w:b/>
          <w:color w:val="auto"/>
          <w:lang w:val="es-ES_tradnl"/>
        </w:rPr>
        <w:t>más adecuadas para liberar recursos</w:t>
      </w:r>
      <w:r w:rsidRPr="00977020">
        <w:rPr>
          <w:rFonts w:asciiTheme="minorHAnsi" w:hAnsiTheme="minorHAnsi" w:cstheme="minorHAnsi"/>
          <w:color w:val="auto"/>
          <w:lang w:val="es-ES_tradnl"/>
        </w:rPr>
        <w:t xml:space="preserve"> para financiar nuevas iniciativas prioritarias.</w:t>
      </w:r>
    </w:p>
    <w:p w14:paraId="0FC702B2" w14:textId="03867A5E" w:rsidR="00662FED" w:rsidRPr="00977020" w:rsidRDefault="00D1115C" w:rsidP="003067FE">
      <w:pPr>
        <w:spacing w:beforeLines="120" w:before="288" w:afterLines="120" w:after="288"/>
        <w:rPr>
          <w:color w:val="auto"/>
          <w:lang w:val="es-ES_tradnl"/>
        </w:rPr>
      </w:pPr>
      <w:r w:rsidRPr="00977020">
        <w:rPr>
          <w:rFonts w:asciiTheme="minorHAnsi" w:hAnsiTheme="minorHAnsi" w:cstheme="minorHAnsi"/>
          <w:color w:val="auto"/>
          <w:lang w:val="es-ES_tradnl"/>
        </w:rPr>
        <w:t xml:space="preserve">Indicar </w:t>
      </w:r>
      <w:proofErr w:type="gramStart"/>
      <w:r w:rsidRPr="00977020">
        <w:rPr>
          <w:rFonts w:asciiTheme="minorHAnsi" w:hAnsiTheme="minorHAnsi" w:cstheme="minorHAnsi"/>
          <w:color w:val="auto"/>
          <w:lang w:val="es-ES_tradnl"/>
        </w:rPr>
        <w:t>que</w:t>
      </w:r>
      <w:proofErr w:type="gramEnd"/>
      <w:r w:rsidR="006B150D" w:rsidRPr="00977020">
        <w:rPr>
          <w:rFonts w:asciiTheme="minorHAnsi" w:hAnsiTheme="minorHAnsi" w:cstheme="minorHAnsi"/>
          <w:color w:val="auto"/>
          <w:lang w:val="es-ES_tradnl"/>
        </w:rPr>
        <w:t xml:space="preserve"> para</w:t>
      </w:r>
      <w:r w:rsidRPr="00977020">
        <w:rPr>
          <w:rFonts w:asciiTheme="minorHAnsi" w:hAnsiTheme="minorHAnsi" w:cstheme="minorHAnsi"/>
          <w:color w:val="auto"/>
          <w:lang w:val="es-ES_tradnl"/>
        </w:rPr>
        <w:t xml:space="preserve"> este debate, </w:t>
      </w:r>
      <w:r w:rsidRPr="00977020">
        <w:rPr>
          <w:rFonts w:asciiTheme="minorHAnsi" w:hAnsiTheme="minorHAnsi" w:cstheme="minorHAnsi"/>
          <w:b/>
          <w:color w:val="auto"/>
          <w:lang w:val="es-ES_tradnl"/>
        </w:rPr>
        <w:t>no se ha definido ningún objetivo mínimo</w:t>
      </w:r>
      <w:r w:rsidRPr="00977020">
        <w:rPr>
          <w:rFonts w:asciiTheme="minorHAnsi" w:hAnsiTheme="minorHAnsi" w:cstheme="minorHAnsi"/>
          <w:color w:val="auto"/>
          <w:lang w:val="es-ES_tradnl"/>
        </w:rPr>
        <w:t xml:space="preserve"> con respecto a la </w:t>
      </w:r>
      <w:r w:rsidRPr="00977020">
        <w:rPr>
          <w:rFonts w:asciiTheme="minorHAnsi" w:hAnsiTheme="minorHAnsi" w:cstheme="minorHAnsi"/>
          <w:b/>
          <w:color w:val="auto"/>
          <w:lang w:val="es-ES_tradnl"/>
        </w:rPr>
        <w:t>generación de espacio presupuestario</w:t>
      </w:r>
      <w:r w:rsidRPr="00977020">
        <w:rPr>
          <w:rFonts w:asciiTheme="minorHAnsi" w:hAnsiTheme="minorHAnsi" w:cstheme="minorHAnsi"/>
          <w:color w:val="auto"/>
          <w:lang w:val="es-ES_tradnl"/>
        </w:rPr>
        <w:t xml:space="preserve">, por lo tanto, su </w:t>
      </w:r>
      <w:r w:rsidRPr="00977020">
        <w:rPr>
          <w:rFonts w:asciiTheme="minorHAnsi" w:hAnsiTheme="minorHAnsi" w:cstheme="minorHAnsi"/>
          <w:b/>
          <w:color w:val="auto"/>
          <w:lang w:val="es-ES_tradnl"/>
        </w:rPr>
        <w:t>volumen dependerá</w:t>
      </w:r>
      <w:r w:rsidRPr="00977020">
        <w:rPr>
          <w:rFonts w:asciiTheme="minorHAnsi" w:hAnsiTheme="minorHAnsi" w:cstheme="minorHAnsi"/>
          <w:color w:val="auto"/>
          <w:lang w:val="es-ES_tradnl"/>
        </w:rPr>
        <w:t xml:space="preserve"> de las </w:t>
      </w:r>
      <w:r w:rsidRPr="00977020">
        <w:rPr>
          <w:rFonts w:asciiTheme="minorHAnsi" w:hAnsiTheme="minorHAnsi" w:cstheme="minorHAnsi"/>
          <w:b/>
          <w:color w:val="auto"/>
          <w:lang w:val="es-ES_tradnl"/>
        </w:rPr>
        <w:t>opciones seleccionadas</w:t>
      </w:r>
      <w:r w:rsidRPr="00977020">
        <w:rPr>
          <w:rFonts w:asciiTheme="minorHAnsi" w:hAnsiTheme="minorHAnsi" w:cstheme="minorHAnsi"/>
          <w:color w:val="auto"/>
          <w:lang w:val="es-ES_tradnl"/>
        </w:rPr>
        <w:t xml:space="preserve"> dentro de la dinámica de este eje de debate.</w:t>
      </w:r>
      <w:r w:rsidR="00103ED4" w:rsidRPr="00977020">
        <w:rPr>
          <w:color w:val="auto"/>
          <w:lang w:val="es-ES_tradnl"/>
        </w:rPr>
        <w:t xml:space="preserve"> </w:t>
      </w:r>
    </w:p>
    <w:p w14:paraId="1F16D826" w14:textId="77777777" w:rsidR="00FE2E20" w:rsidRPr="00977020" w:rsidRDefault="00FE2E20" w:rsidP="003067FE">
      <w:pPr>
        <w:spacing w:beforeLines="120" w:before="288" w:afterLines="120" w:after="288"/>
        <w:rPr>
          <w:color w:val="auto"/>
          <w:lang w:val="es-ES_tradnl"/>
        </w:rPr>
      </w:pPr>
    </w:p>
    <w:p w14:paraId="3E25A998" w14:textId="77777777" w:rsidR="00103ED4" w:rsidRPr="00977020" w:rsidRDefault="00103ED4" w:rsidP="003067FE">
      <w:pPr>
        <w:shd w:val="clear" w:color="auto" w:fill="auto"/>
        <w:spacing w:before="120" w:afterLines="100" w:after="240" w:line="276" w:lineRule="auto"/>
        <w:rPr>
          <w:rFonts w:asciiTheme="minorHAnsi" w:hAnsiTheme="minorHAnsi" w:cstheme="minorHAnsi"/>
          <w:b/>
          <w:color w:val="auto"/>
          <w:sz w:val="32"/>
          <w:szCs w:val="32"/>
          <w:lang w:val="es-ES_tradnl"/>
        </w:rPr>
      </w:pPr>
      <w:r w:rsidRPr="00977020">
        <w:rPr>
          <w:rFonts w:asciiTheme="minorHAnsi" w:hAnsiTheme="minorHAnsi" w:cstheme="minorHAnsi"/>
          <w:b/>
          <w:color w:val="auto"/>
          <w:sz w:val="32"/>
          <w:szCs w:val="32"/>
          <w:lang w:val="es-ES_tradnl"/>
        </w:rPr>
        <w:t>Documentación de referencia</w:t>
      </w:r>
    </w:p>
    <w:p w14:paraId="3563BD0C" w14:textId="7947651C" w:rsidR="00103ED4" w:rsidRPr="00977020" w:rsidRDefault="00534DB4" w:rsidP="003067FE">
      <w:pPr>
        <w:pStyle w:val="Pargrafdellista"/>
        <w:numPr>
          <w:ilvl w:val="0"/>
          <w:numId w:val="26"/>
        </w:numPr>
        <w:spacing w:before="120" w:after="120"/>
        <w:rPr>
          <w:rFonts w:asciiTheme="minorHAnsi" w:hAnsiTheme="minorHAnsi" w:cstheme="minorHAnsi"/>
          <w:color w:val="auto"/>
          <w:lang w:val="es-ES_tradnl"/>
        </w:rPr>
      </w:pPr>
      <w:hyperlink r:id="rId19" w:history="1">
        <w:r w:rsidR="00103ED4" w:rsidRPr="00977020">
          <w:rPr>
            <w:rStyle w:val="Enlla"/>
            <w:rFonts w:asciiTheme="minorHAnsi" w:hAnsiTheme="minorHAnsi" w:cstheme="minorHAnsi"/>
            <w:color w:val="auto"/>
            <w:lang w:val="es-ES_tradnl"/>
          </w:rPr>
          <w:t>Espacio de Tributos en la web del Departamento de Economía y Hacienda de la Generalitat de Catalunya</w:t>
        </w:r>
      </w:hyperlink>
      <w:r w:rsidR="00103ED4" w:rsidRPr="00977020">
        <w:rPr>
          <w:rFonts w:asciiTheme="minorHAnsi" w:hAnsiTheme="minorHAnsi" w:cstheme="minorHAnsi"/>
          <w:color w:val="auto"/>
          <w:lang w:val="es-ES_tradnl"/>
        </w:rPr>
        <w:t>.</w:t>
      </w:r>
    </w:p>
    <w:p w14:paraId="4E5836EC" w14:textId="77777777" w:rsidR="00103ED4" w:rsidRPr="00977020" w:rsidRDefault="00534DB4" w:rsidP="003067FE">
      <w:pPr>
        <w:pStyle w:val="Pargrafdellista"/>
        <w:numPr>
          <w:ilvl w:val="0"/>
          <w:numId w:val="26"/>
        </w:numPr>
        <w:spacing w:before="120" w:after="120"/>
        <w:rPr>
          <w:rFonts w:asciiTheme="minorHAnsi" w:hAnsiTheme="minorHAnsi" w:cstheme="minorHAnsi"/>
          <w:color w:val="auto"/>
          <w:lang w:val="es-ES_tradnl"/>
        </w:rPr>
      </w:pPr>
      <w:hyperlink r:id="rId20" w:history="1">
        <w:r w:rsidR="00103ED4" w:rsidRPr="00977020">
          <w:rPr>
            <w:rStyle w:val="Enlla"/>
            <w:rFonts w:asciiTheme="minorHAnsi" w:hAnsiTheme="minorHAnsi" w:cstheme="minorHAnsi"/>
            <w:color w:val="auto"/>
            <w:lang w:val="es-ES_tradnl"/>
          </w:rPr>
          <w:t>Visualización de datos de la recaudación tributaria en Cataluña</w:t>
        </w:r>
      </w:hyperlink>
      <w:r w:rsidR="00103ED4" w:rsidRPr="00977020">
        <w:rPr>
          <w:rFonts w:asciiTheme="minorHAnsi" w:hAnsiTheme="minorHAnsi" w:cstheme="minorHAnsi"/>
          <w:color w:val="auto"/>
          <w:lang w:val="es-ES_tradnl"/>
        </w:rPr>
        <w:t>.</w:t>
      </w:r>
    </w:p>
    <w:p w14:paraId="293FD31A" w14:textId="77777777" w:rsidR="00103ED4" w:rsidRPr="00977020" w:rsidRDefault="00534DB4" w:rsidP="003067FE">
      <w:pPr>
        <w:pStyle w:val="Pargrafdellista"/>
        <w:numPr>
          <w:ilvl w:val="0"/>
          <w:numId w:val="26"/>
        </w:numPr>
        <w:spacing w:before="120" w:after="120"/>
        <w:rPr>
          <w:rStyle w:val="Enlla"/>
          <w:rFonts w:asciiTheme="minorHAnsi" w:hAnsiTheme="minorHAnsi" w:cstheme="minorHAnsi"/>
          <w:color w:val="auto"/>
          <w:u w:val="none"/>
          <w:lang w:val="es-ES_tradnl"/>
        </w:rPr>
      </w:pPr>
      <w:hyperlink r:id="rId21" w:history="1">
        <w:r w:rsidR="00103ED4" w:rsidRPr="00977020">
          <w:rPr>
            <w:rStyle w:val="Enlla"/>
            <w:rFonts w:asciiTheme="minorHAnsi" w:hAnsiTheme="minorHAnsi" w:cstheme="minorHAnsi"/>
            <w:color w:val="auto"/>
            <w:lang w:val="es-ES_tradnl"/>
          </w:rPr>
          <w:t>Espacio sobre el modelo de financiación autonómica en la web del Departamento de Economía y Hacienda de la Generalitat.</w:t>
        </w:r>
      </w:hyperlink>
    </w:p>
    <w:p w14:paraId="10925E58" w14:textId="1DC8EAC4" w:rsidR="00103ED4" w:rsidRPr="00977020" w:rsidRDefault="00534DB4" w:rsidP="003067FE">
      <w:pPr>
        <w:pStyle w:val="Pargrafdellista"/>
        <w:numPr>
          <w:ilvl w:val="0"/>
          <w:numId w:val="26"/>
        </w:numPr>
        <w:spacing w:before="120" w:after="120"/>
        <w:rPr>
          <w:rFonts w:asciiTheme="minorHAnsi" w:hAnsiTheme="minorHAnsi" w:cstheme="minorHAnsi"/>
          <w:color w:val="auto"/>
          <w:lang w:val="es-ES_tradnl"/>
        </w:rPr>
      </w:pPr>
      <w:hyperlink r:id="rId22" w:history="1">
        <w:r w:rsidR="00D31B8E" w:rsidRPr="00977020">
          <w:rPr>
            <w:rStyle w:val="Enlla"/>
            <w:rFonts w:asciiTheme="minorHAnsi" w:hAnsiTheme="minorHAnsi" w:cstheme="minorHAnsi"/>
            <w:color w:val="auto"/>
            <w:lang w:val="es-ES_tradnl"/>
          </w:rPr>
          <w:t>Informe de Orientaciones Presupuestarias de junio de 2024.</w:t>
        </w:r>
      </w:hyperlink>
    </w:p>
    <w:p w14:paraId="5A3A1DE6" w14:textId="2A8962AD" w:rsidR="00103ED4" w:rsidRPr="00977020" w:rsidRDefault="00534DB4" w:rsidP="003067FE">
      <w:pPr>
        <w:pStyle w:val="Pargrafdellista"/>
        <w:numPr>
          <w:ilvl w:val="0"/>
          <w:numId w:val="26"/>
        </w:numPr>
        <w:spacing w:before="120" w:after="120"/>
        <w:rPr>
          <w:rFonts w:asciiTheme="minorHAnsi" w:hAnsiTheme="minorHAnsi" w:cstheme="minorHAnsi"/>
          <w:color w:val="auto"/>
          <w:lang w:val="es-ES_tradnl"/>
        </w:rPr>
      </w:pPr>
      <w:hyperlink r:id="rId23" w:history="1">
        <w:r w:rsidR="00103ED4" w:rsidRPr="00977020">
          <w:rPr>
            <w:rStyle w:val="Enlla"/>
            <w:rFonts w:asciiTheme="minorHAnsi" w:hAnsiTheme="minorHAnsi" w:cstheme="minorHAnsi"/>
            <w:color w:val="auto"/>
            <w:lang w:val="es-ES_tradnl"/>
          </w:rPr>
          <w:t>Datos interactivos de los Presupuestos 202</w:t>
        </w:r>
        <w:r w:rsidR="00D31B8E" w:rsidRPr="00977020">
          <w:rPr>
            <w:rStyle w:val="Enlla"/>
            <w:rFonts w:asciiTheme="minorHAnsi" w:hAnsiTheme="minorHAnsi" w:cstheme="minorHAnsi"/>
            <w:color w:val="auto"/>
            <w:lang w:val="es-ES_tradnl"/>
          </w:rPr>
          <w:t>3</w:t>
        </w:r>
        <w:r w:rsidR="00103ED4" w:rsidRPr="00977020">
          <w:rPr>
            <w:rStyle w:val="Enlla"/>
            <w:rFonts w:asciiTheme="minorHAnsi" w:hAnsiTheme="minorHAnsi" w:cstheme="minorHAnsi"/>
            <w:color w:val="auto"/>
            <w:lang w:val="es-ES_tradnl"/>
          </w:rPr>
          <w:t xml:space="preserve"> de la Generalitat de Catalunya</w:t>
        </w:r>
      </w:hyperlink>
      <w:r w:rsidR="00103ED4" w:rsidRPr="00977020">
        <w:rPr>
          <w:rFonts w:asciiTheme="minorHAnsi" w:hAnsiTheme="minorHAnsi" w:cstheme="minorHAnsi"/>
          <w:color w:val="auto"/>
          <w:lang w:val="es-ES_tradnl"/>
        </w:rPr>
        <w:t>.</w:t>
      </w:r>
    </w:p>
    <w:p w14:paraId="0299E8C9" w14:textId="1497DBB4" w:rsidR="00103ED4" w:rsidRPr="00977020" w:rsidRDefault="00534DB4" w:rsidP="003067FE">
      <w:pPr>
        <w:pStyle w:val="Pargrafdellista"/>
        <w:numPr>
          <w:ilvl w:val="0"/>
          <w:numId w:val="26"/>
        </w:numPr>
        <w:spacing w:before="120" w:after="120"/>
        <w:rPr>
          <w:rFonts w:asciiTheme="minorHAnsi" w:hAnsiTheme="minorHAnsi" w:cstheme="minorHAnsi"/>
          <w:color w:val="auto"/>
          <w:lang w:val="es-ES_tradnl"/>
        </w:rPr>
      </w:pPr>
      <w:hyperlink r:id="rId24" w:history="1">
        <w:r w:rsidR="00103ED4" w:rsidRPr="00977020">
          <w:rPr>
            <w:rStyle w:val="Enlla"/>
            <w:rFonts w:asciiTheme="minorHAnsi" w:hAnsiTheme="minorHAnsi" w:cstheme="minorHAnsi"/>
            <w:color w:val="auto"/>
            <w:lang w:val="es-ES_tradnl"/>
          </w:rPr>
          <w:t>Explicación de la estructura p</w:t>
        </w:r>
        <w:r w:rsidR="00AE2C4D">
          <w:rPr>
            <w:rStyle w:val="Enlla"/>
            <w:rFonts w:asciiTheme="minorHAnsi" w:hAnsiTheme="minorHAnsi" w:cstheme="minorHAnsi"/>
            <w:color w:val="auto"/>
            <w:lang w:val="es-ES_tradnl"/>
          </w:rPr>
          <w:t>or</w:t>
        </w:r>
        <w:r w:rsidR="00103ED4" w:rsidRPr="00977020">
          <w:rPr>
            <w:rStyle w:val="Enlla"/>
            <w:rFonts w:asciiTheme="minorHAnsi" w:hAnsiTheme="minorHAnsi" w:cstheme="minorHAnsi"/>
            <w:color w:val="auto"/>
            <w:lang w:val="es-ES_tradnl"/>
          </w:rPr>
          <w:t xml:space="preserve"> programas, Presupuestos 202</w:t>
        </w:r>
        <w:r w:rsidR="00D31B8E" w:rsidRPr="00977020">
          <w:rPr>
            <w:rStyle w:val="Enlla"/>
            <w:rFonts w:asciiTheme="minorHAnsi" w:hAnsiTheme="minorHAnsi" w:cstheme="minorHAnsi"/>
            <w:color w:val="auto"/>
            <w:lang w:val="es-ES_tradnl"/>
          </w:rPr>
          <w:t>3</w:t>
        </w:r>
        <w:r w:rsidR="00103ED4" w:rsidRPr="00977020">
          <w:rPr>
            <w:rStyle w:val="Enlla"/>
            <w:rFonts w:asciiTheme="minorHAnsi" w:hAnsiTheme="minorHAnsi" w:cstheme="minorHAnsi"/>
            <w:color w:val="auto"/>
            <w:lang w:val="es-ES_tradnl"/>
          </w:rPr>
          <w:t xml:space="preserve"> de la Generalitat de Catalunya</w:t>
        </w:r>
      </w:hyperlink>
      <w:r w:rsidR="00103ED4" w:rsidRPr="00977020">
        <w:rPr>
          <w:rStyle w:val="Enlla"/>
          <w:color w:val="auto"/>
          <w:lang w:val="es-ES_tradnl"/>
        </w:rPr>
        <w:t>.</w:t>
      </w:r>
    </w:p>
    <w:p w14:paraId="65840D88" w14:textId="77777777" w:rsidR="00103ED4" w:rsidRPr="00977020" w:rsidRDefault="00534DB4" w:rsidP="003067FE">
      <w:pPr>
        <w:pStyle w:val="Pargrafdellista"/>
        <w:numPr>
          <w:ilvl w:val="0"/>
          <w:numId w:val="26"/>
        </w:numPr>
        <w:spacing w:before="120" w:after="120"/>
        <w:rPr>
          <w:rFonts w:asciiTheme="minorHAnsi" w:hAnsiTheme="minorHAnsi" w:cstheme="minorHAnsi"/>
          <w:color w:val="auto"/>
          <w:lang w:val="es-ES_tradnl"/>
        </w:rPr>
      </w:pPr>
      <w:hyperlink r:id="rId25" w:history="1">
        <w:r w:rsidR="00103ED4" w:rsidRPr="00977020">
          <w:rPr>
            <w:rStyle w:val="Enlla"/>
            <w:rFonts w:asciiTheme="minorHAnsi" w:hAnsiTheme="minorHAnsi" w:cstheme="minorHAnsi"/>
            <w:color w:val="auto"/>
            <w:lang w:val="es-ES_tradnl"/>
          </w:rPr>
          <w:t>Visualización de datos de los indicadores de seguimiento de los programas presupuestarios.</w:t>
        </w:r>
      </w:hyperlink>
    </w:p>
    <w:p w14:paraId="4A75F01F" w14:textId="77777777" w:rsidR="00103ED4" w:rsidRPr="00977020" w:rsidRDefault="00534DB4" w:rsidP="003067FE">
      <w:pPr>
        <w:pStyle w:val="Pargrafdellista"/>
        <w:numPr>
          <w:ilvl w:val="0"/>
          <w:numId w:val="26"/>
        </w:numPr>
        <w:spacing w:before="120" w:after="120"/>
        <w:rPr>
          <w:rStyle w:val="Enlla"/>
          <w:rFonts w:asciiTheme="minorHAnsi" w:hAnsiTheme="minorHAnsi" w:cstheme="minorHAnsi"/>
          <w:color w:val="auto"/>
          <w:u w:val="none"/>
          <w:lang w:val="es-ES_tradnl"/>
        </w:rPr>
      </w:pPr>
      <w:hyperlink r:id="rId26" w:history="1">
        <w:r w:rsidR="00103ED4" w:rsidRPr="00977020">
          <w:rPr>
            <w:rStyle w:val="Enlla"/>
            <w:rFonts w:asciiTheme="minorHAnsi" w:hAnsiTheme="minorHAnsi" w:cstheme="minorHAnsi"/>
            <w:color w:val="auto"/>
            <w:lang w:val="es-ES_tradnl"/>
          </w:rPr>
          <w:t>Presupuestos Abiertos de la Generalitat de Catalunya.</w:t>
        </w:r>
      </w:hyperlink>
    </w:p>
    <w:p w14:paraId="5B6C3860" w14:textId="6BC6F370" w:rsidR="00662FED" w:rsidRPr="00977020" w:rsidRDefault="00534DB4" w:rsidP="003067FE">
      <w:pPr>
        <w:pStyle w:val="Pargrafdellista"/>
        <w:numPr>
          <w:ilvl w:val="0"/>
          <w:numId w:val="26"/>
        </w:numPr>
        <w:spacing w:before="120" w:after="120"/>
        <w:rPr>
          <w:rFonts w:asciiTheme="minorHAnsi" w:hAnsiTheme="minorHAnsi" w:cstheme="minorHAnsi"/>
          <w:color w:val="auto"/>
          <w:lang w:val="es-ES_tradnl"/>
        </w:rPr>
      </w:pPr>
      <w:hyperlink r:id="rId27" w:history="1">
        <w:r w:rsidR="00103ED4" w:rsidRPr="00977020">
          <w:rPr>
            <w:rStyle w:val="Enlla"/>
            <w:rFonts w:asciiTheme="minorHAnsi" w:hAnsiTheme="minorHAnsi" w:cstheme="minorHAnsi"/>
            <w:color w:val="auto"/>
            <w:lang w:val="es-ES_tradnl"/>
          </w:rPr>
          <w:t>Simulador del Presupuesto de la Generalitat de Catalunya.</w:t>
        </w:r>
      </w:hyperlink>
    </w:p>
    <w:p w14:paraId="5E8C90FE" w14:textId="49D0ADA9" w:rsidR="00662FED" w:rsidRPr="00977020" w:rsidRDefault="00662FED" w:rsidP="003067FE">
      <w:pPr>
        <w:rPr>
          <w:color w:val="auto"/>
          <w:lang w:val="es-ES_tradnl"/>
        </w:rPr>
      </w:pPr>
    </w:p>
    <w:p w14:paraId="65A2FE10" w14:textId="77777777" w:rsidR="00D31B8E" w:rsidRPr="00977020" w:rsidRDefault="00D31B8E" w:rsidP="003067FE">
      <w:pPr>
        <w:rPr>
          <w:color w:val="auto"/>
          <w:lang w:val="es-ES_tradnl"/>
        </w:rPr>
      </w:pPr>
    </w:p>
    <w:p w14:paraId="1E061692" w14:textId="77777777" w:rsidR="00103ED4" w:rsidRPr="00977020" w:rsidRDefault="00103ED4" w:rsidP="003067FE">
      <w:pPr>
        <w:shd w:val="clear" w:color="auto" w:fill="auto"/>
        <w:spacing w:before="120" w:afterLines="100" w:after="240" w:line="276" w:lineRule="auto"/>
        <w:rPr>
          <w:rFonts w:asciiTheme="minorHAnsi" w:hAnsiTheme="minorHAnsi" w:cstheme="minorHAnsi"/>
          <w:b/>
          <w:color w:val="auto"/>
          <w:sz w:val="32"/>
          <w:szCs w:val="32"/>
          <w:lang w:val="es-ES_tradnl"/>
        </w:rPr>
      </w:pPr>
      <w:r w:rsidRPr="00977020">
        <w:rPr>
          <w:rFonts w:asciiTheme="minorHAnsi" w:hAnsiTheme="minorHAnsi" w:cstheme="minorHAnsi"/>
          <w:b/>
          <w:color w:val="auto"/>
          <w:sz w:val="32"/>
          <w:szCs w:val="32"/>
          <w:lang w:val="es-ES_tradnl"/>
        </w:rPr>
        <w:t>Límites del debate</w:t>
      </w:r>
    </w:p>
    <w:p w14:paraId="17645DFB" w14:textId="633AB8C9" w:rsidR="00662FED" w:rsidRPr="00977020" w:rsidRDefault="00103ED4" w:rsidP="003067FE">
      <w:pPr>
        <w:spacing w:before="120" w:after="120"/>
        <w:rPr>
          <w:color w:val="auto"/>
          <w:lang w:val="es-ES_tradnl"/>
        </w:rPr>
      </w:pPr>
      <w:r w:rsidRPr="00977020">
        <w:rPr>
          <w:rFonts w:asciiTheme="minorHAnsi" w:eastAsia="Calibri" w:hAnsiTheme="minorHAnsi" w:cstheme="minorHAnsi"/>
          <w:color w:val="auto"/>
          <w:lang w:val="es-ES_tradnl"/>
        </w:rPr>
        <w:t xml:space="preserve">El principal límite de este eje de debate de circunscribe al </w:t>
      </w:r>
      <w:r w:rsidR="006B150D" w:rsidRPr="00977020">
        <w:rPr>
          <w:rFonts w:asciiTheme="minorHAnsi" w:eastAsia="Calibri" w:hAnsiTheme="minorHAnsi" w:cstheme="minorHAnsi"/>
          <w:color w:val="auto"/>
          <w:lang w:val="es-ES_tradnl"/>
        </w:rPr>
        <w:t>cumplimiento</w:t>
      </w:r>
      <w:r w:rsidRPr="00977020">
        <w:rPr>
          <w:rFonts w:asciiTheme="minorHAnsi" w:eastAsia="Calibri" w:hAnsiTheme="minorHAnsi" w:cstheme="minorHAnsi"/>
          <w:b/>
          <w:color w:val="auto"/>
          <w:lang w:val="es-ES_tradnl"/>
        </w:rPr>
        <w:t xml:space="preserve"> de las leyes y normativa </w:t>
      </w:r>
      <w:r w:rsidRPr="00977020">
        <w:rPr>
          <w:rFonts w:asciiTheme="minorHAnsi" w:eastAsia="Calibri" w:hAnsiTheme="minorHAnsi" w:cstheme="minorHAnsi"/>
          <w:color w:val="auto"/>
          <w:lang w:val="es-ES_tradnl"/>
        </w:rPr>
        <w:t xml:space="preserve">en la cual está sujeto la </w:t>
      </w:r>
      <w:r w:rsidRPr="00977020">
        <w:rPr>
          <w:rFonts w:asciiTheme="minorHAnsi" w:eastAsia="Calibri" w:hAnsiTheme="minorHAnsi" w:cstheme="minorHAnsi"/>
          <w:b/>
          <w:color w:val="auto"/>
          <w:lang w:val="es-ES_tradnl"/>
        </w:rPr>
        <w:t>Generalitat de Catalunya</w:t>
      </w:r>
      <w:r w:rsidRPr="00977020">
        <w:rPr>
          <w:rFonts w:asciiTheme="minorHAnsi" w:eastAsia="Calibri" w:hAnsiTheme="minorHAnsi" w:cstheme="minorHAnsi"/>
          <w:color w:val="auto"/>
          <w:lang w:val="es-ES_tradnl"/>
        </w:rPr>
        <w:t xml:space="preserve">, así como al ámbito de las </w:t>
      </w:r>
      <w:r w:rsidRPr="00977020">
        <w:rPr>
          <w:rFonts w:asciiTheme="minorHAnsi" w:eastAsia="Calibri" w:hAnsiTheme="minorHAnsi" w:cstheme="minorHAnsi"/>
          <w:b/>
          <w:color w:val="auto"/>
          <w:lang w:val="es-ES_tradnl"/>
        </w:rPr>
        <w:t>competencias</w:t>
      </w:r>
      <w:r w:rsidRPr="00977020">
        <w:rPr>
          <w:rFonts w:asciiTheme="minorHAnsi" w:eastAsia="Calibri" w:hAnsiTheme="minorHAnsi" w:cstheme="minorHAnsi"/>
          <w:color w:val="auto"/>
          <w:lang w:val="es-ES_tradnl"/>
        </w:rPr>
        <w:t xml:space="preserve"> que tiene la Generalitat en las </w:t>
      </w:r>
      <w:r w:rsidRPr="00977020">
        <w:rPr>
          <w:rFonts w:asciiTheme="minorHAnsi" w:eastAsia="Calibri" w:hAnsiTheme="minorHAnsi" w:cstheme="minorHAnsi"/>
          <w:b/>
          <w:color w:val="auto"/>
          <w:lang w:val="es-ES_tradnl"/>
        </w:rPr>
        <w:t>políticas sectoriales en las cuales interviene</w:t>
      </w:r>
      <w:r w:rsidRPr="00977020">
        <w:rPr>
          <w:rFonts w:asciiTheme="minorHAnsi" w:eastAsia="Calibri" w:hAnsiTheme="minorHAnsi" w:cstheme="minorHAnsi"/>
          <w:color w:val="auto"/>
          <w:lang w:val="es-ES_tradnl"/>
        </w:rPr>
        <w:t xml:space="preserve">. Entre todas estas, destacar la normativa asociada a la </w:t>
      </w:r>
      <w:r w:rsidRPr="00977020">
        <w:rPr>
          <w:rFonts w:asciiTheme="minorHAnsi" w:eastAsia="Calibri" w:hAnsiTheme="minorHAnsi" w:cstheme="minorHAnsi"/>
          <w:b/>
          <w:color w:val="auto"/>
          <w:lang w:val="es-ES_tradnl"/>
        </w:rPr>
        <w:t>capacidad normativa en materia tributaria</w:t>
      </w:r>
      <w:r w:rsidRPr="00977020">
        <w:rPr>
          <w:rFonts w:asciiTheme="minorHAnsi" w:eastAsia="Calibri" w:hAnsiTheme="minorHAnsi" w:cstheme="minorHAnsi"/>
          <w:color w:val="auto"/>
          <w:lang w:val="es-ES_tradnl"/>
        </w:rPr>
        <w:t xml:space="preserve"> que tiene la generalidad de Cataluña, así como la asociada a las </w:t>
      </w:r>
      <w:r w:rsidRPr="00977020">
        <w:rPr>
          <w:rFonts w:asciiTheme="minorHAnsi" w:eastAsia="Calibri" w:hAnsiTheme="minorHAnsi" w:cstheme="minorHAnsi"/>
          <w:b/>
          <w:color w:val="auto"/>
          <w:lang w:val="es-ES_tradnl"/>
        </w:rPr>
        <w:t>competencias sectoriales</w:t>
      </w:r>
      <w:r w:rsidRPr="00977020">
        <w:rPr>
          <w:rFonts w:asciiTheme="minorHAnsi" w:eastAsia="Calibri" w:hAnsiTheme="minorHAnsi" w:cstheme="minorHAnsi"/>
          <w:color w:val="auto"/>
          <w:lang w:val="es-ES_tradnl"/>
        </w:rPr>
        <w:t xml:space="preserve">, al </w:t>
      </w:r>
      <w:r w:rsidR="006B150D" w:rsidRPr="00977020">
        <w:rPr>
          <w:rFonts w:asciiTheme="minorHAnsi" w:eastAsia="Calibri" w:hAnsiTheme="minorHAnsi" w:cstheme="minorHAnsi"/>
          <w:color w:val="auto"/>
          <w:lang w:val="es-ES_tradnl"/>
        </w:rPr>
        <w:t>cumplimiento</w:t>
      </w:r>
      <w:r w:rsidRPr="00977020">
        <w:rPr>
          <w:rFonts w:asciiTheme="minorHAnsi" w:eastAsia="Calibri" w:hAnsiTheme="minorHAnsi" w:cstheme="minorHAnsi"/>
          <w:b/>
          <w:color w:val="auto"/>
          <w:lang w:val="es-ES_tradnl"/>
        </w:rPr>
        <w:t xml:space="preserve"> de convenios, contratos y otros compromisos</w:t>
      </w:r>
      <w:r w:rsidRPr="00977020">
        <w:rPr>
          <w:rFonts w:asciiTheme="minorHAnsi" w:eastAsia="Calibri" w:hAnsiTheme="minorHAnsi" w:cstheme="minorHAnsi"/>
          <w:color w:val="auto"/>
          <w:lang w:val="es-ES_tradnl"/>
        </w:rPr>
        <w:t xml:space="preserve"> y la aplicación </w:t>
      </w:r>
      <w:r w:rsidRPr="00977020">
        <w:rPr>
          <w:rFonts w:asciiTheme="minorHAnsi" w:eastAsia="Calibri" w:hAnsiTheme="minorHAnsi" w:cstheme="minorHAnsi"/>
          <w:b/>
          <w:color w:val="auto"/>
          <w:lang w:val="es-ES_tradnl"/>
        </w:rPr>
        <w:t>fondo finalistas</w:t>
      </w:r>
      <w:r w:rsidRPr="00977020">
        <w:rPr>
          <w:rFonts w:asciiTheme="minorHAnsi" w:eastAsia="Calibri" w:hAnsiTheme="minorHAnsi" w:cstheme="minorHAnsi"/>
          <w:color w:val="auto"/>
          <w:lang w:val="es-ES_tradnl"/>
        </w:rPr>
        <w:t xml:space="preserve"> y </w:t>
      </w:r>
      <w:r w:rsidRPr="00977020">
        <w:rPr>
          <w:rFonts w:asciiTheme="minorHAnsi" w:eastAsia="Calibri" w:hAnsiTheme="minorHAnsi" w:cstheme="minorHAnsi"/>
          <w:b/>
          <w:color w:val="auto"/>
          <w:lang w:val="es-ES_tradnl"/>
        </w:rPr>
        <w:t>recursos afectados</w:t>
      </w:r>
      <w:r w:rsidRPr="00977020">
        <w:rPr>
          <w:rFonts w:asciiTheme="minorHAnsi" w:eastAsia="Calibri" w:hAnsiTheme="minorHAnsi" w:cstheme="minorHAnsi"/>
          <w:color w:val="auto"/>
          <w:lang w:val="es-ES_tradnl"/>
        </w:rPr>
        <w:t xml:space="preserve"> procedentes de otras administraciones públicas, instituciones o sujetos.</w:t>
      </w:r>
    </w:p>
    <w:p w14:paraId="58E78A57" w14:textId="77777777" w:rsidR="00CC490C" w:rsidRPr="00977020" w:rsidRDefault="00CC490C" w:rsidP="003067FE">
      <w:pPr>
        <w:rPr>
          <w:color w:val="auto"/>
          <w:lang w:val="es-ES_tradnl"/>
        </w:rPr>
      </w:pPr>
    </w:p>
    <w:p w14:paraId="5D7B389E" w14:textId="77777777" w:rsidR="006247D8" w:rsidRPr="00977020" w:rsidRDefault="006247D8" w:rsidP="003067FE">
      <w:pPr>
        <w:spacing w:before="120" w:after="120"/>
        <w:rPr>
          <w:rFonts w:asciiTheme="minorHAnsi" w:hAnsiTheme="minorHAnsi" w:cstheme="minorHAnsi"/>
          <w:color w:val="auto"/>
          <w:lang w:val="es-ES_tradnl"/>
        </w:rPr>
      </w:pPr>
    </w:p>
    <w:sectPr w:rsidR="006247D8" w:rsidRPr="00977020" w:rsidSect="006B0EC4">
      <w:pgSz w:w="11907" w:h="16840" w:code="9"/>
      <w:pgMar w:top="1985" w:right="1134" w:bottom="1985"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73B6A" w14:textId="77777777" w:rsidR="00F55BE1" w:rsidRDefault="00F55BE1" w:rsidP="005E5E27">
      <w:r>
        <w:separator/>
      </w:r>
    </w:p>
  </w:endnote>
  <w:endnote w:type="continuationSeparator" w:id="0">
    <w:p w14:paraId="76F77558" w14:textId="77777777" w:rsidR="00F55BE1" w:rsidRDefault="00F55BE1" w:rsidP="005E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4A6D" w14:textId="77777777" w:rsidR="00FE39AA" w:rsidRDefault="00FE39AA" w:rsidP="005E5E27">
    <w:pPr>
      <w:pStyle w:val="Peu"/>
      <w:rPr>
        <w:rStyle w:val="Nmerodepgina"/>
      </w:rPr>
    </w:pPr>
    <w:r>
      <w:rPr>
        <w:rStyle w:val="Nmerodepgina"/>
      </w:rPr>
      <w:fldChar w:fldCharType="begin"/>
    </w:r>
    <w:r>
      <w:rPr>
        <w:rStyle w:val="Nmerodepgina"/>
      </w:rPr>
      <w:instrText xml:space="preserve"> PAGE </w:instrText>
    </w:r>
    <w:r>
      <w:rPr>
        <w:rStyle w:val="Nmerodepgina"/>
      </w:rPr>
      <w:fldChar w:fldCharType="end"/>
    </w:r>
  </w:p>
  <w:p w14:paraId="615CD8DD" w14:textId="77777777" w:rsidR="00FE39AA" w:rsidRDefault="00FE39AA" w:rsidP="005E5E2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B95C" w14:textId="2845F2A9" w:rsidR="00CD6E33" w:rsidRPr="003067FE" w:rsidRDefault="00F22B55" w:rsidP="00B634C1">
    <w:pPr>
      <w:pStyle w:val="Peu"/>
      <w:tabs>
        <w:tab w:val="clear" w:pos="4680"/>
        <w:tab w:val="clear" w:pos="9360"/>
        <w:tab w:val="left" w:pos="3969"/>
        <w:tab w:val="right" w:pos="9072"/>
      </w:tabs>
      <w:spacing w:after="0"/>
      <w:ind w:hanging="567"/>
      <w:rPr>
        <w:color w:val="auto"/>
      </w:rPr>
    </w:pPr>
    <w:r>
      <w:rPr>
        <w:noProof/>
      </w:rPr>
      <w:drawing>
        <wp:inline distT="0" distB="0" distL="0" distR="0" wp14:anchorId="08254BF5" wp14:editId="559066EF">
          <wp:extent cx="1234930" cy="317500"/>
          <wp:effectExtent l="0" t="0" r="3810" b="6350"/>
          <wp:docPr id="6" name="Imatge 6"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6" descr="Logotip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70" cy="319053"/>
                  </a:xfrm>
                  <a:prstGeom prst="rect">
                    <a:avLst/>
                  </a:prstGeom>
                </pic:spPr>
              </pic:pic>
            </a:graphicData>
          </a:graphic>
        </wp:inline>
      </w:drawing>
    </w:r>
    <w:r>
      <w:tab/>
    </w:r>
    <w:sdt>
      <w:sdtPr>
        <w:id w:val="-1794128389"/>
        <w:docPartObj>
          <w:docPartGallery w:val="Page Numbers (Bottom of Page)"/>
          <w:docPartUnique/>
        </w:docPartObj>
      </w:sdtPr>
      <w:sdtEndPr/>
      <w:sdtContent>
        <w:r w:rsidR="00CD6E33">
          <w:fldChar w:fldCharType="begin"/>
        </w:r>
        <w:r w:rsidR="00CD6E33">
          <w:instrText>PAGE   \* MERGEFORMAT</w:instrText>
        </w:r>
        <w:r w:rsidR="00CD6E33">
          <w:fldChar w:fldCharType="separate"/>
        </w:r>
        <w:r w:rsidR="00534DB4">
          <w:rPr>
            <w:noProof/>
          </w:rPr>
          <w:t>11</w:t>
        </w:r>
        <w:r w:rsidR="00CD6E33">
          <w:fldChar w:fldCharType="end"/>
        </w:r>
      </w:sdtContent>
    </w:sdt>
    <w:r>
      <w:tab/>
    </w:r>
    <w:r w:rsidR="00CD6E33" w:rsidRPr="003067FE">
      <w:rPr>
        <w:b/>
        <w:color w:val="auto"/>
      </w:rPr>
      <w:t>participa.gencat.cat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4DDA" w14:textId="507D4318" w:rsidR="006E7EC0" w:rsidRPr="003067FE" w:rsidRDefault="00386460" w:rsidP="00B634C1">
    <w:pPr>
      <w:tabs>
        <w:tab w:val="center" w:pos="4395"/>
        <w:tab w:val="right" w:pos="9072"/>
      </w:tabs>
      <w:spacing w:after="0"/>
      <w:ind w:hanging="567"/>
      <w:rPr>
        <w:color w:val="auto"/>
      </w:rPr>
    </w:pPr>
    <w:r>
      <w:rPr>
        <w:noProof/>
      </w:rPr>
      <w:drawing>
        <wp:inline distT="0" distB="0" distL="0" distR="0" wp14:anchorId="21C6D0C4" wp14:editId="1AA09F48">
          <wp:extent cx="1273908" cy="343444"/>
          <wp:effectExtent l="0" t="0" r="2540" b="0"/>
          <wp:docPr id="8" name="Imatge 8"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tge 8" descr="Logotip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76" cy="376461"/>
                  </a:xfrm>
                  <a:prstGeom prst="rect">
                    <a:avLst/>
                  </a:prstGeom>
                </pic:spPr>
              </pic:pic>
            </a:graphicData>
          </a:graphic>
        </wp:inline>
      </w:drawing>
    </w:r>
    <w:r w:rsidR="006E7EC0">
      <w:tab/>
    </w:r>
    <w:sdt>
      <w:sdtPr>
        <w:id w:val="747389193"/>
        <w:docPartObj>
          <w:docPartGallery w:val="Page Numbers (Bottom of Page)"/>
          <w:docPartUnique/>
        </w:docPartObj>
      </w:sdtPr>
      <w:sdtEndPr/>
      <w:sdtContent>
        <w:r w:rsidR="006E7EC0" w:rsidRPr="00386460">
          <w:fldChar w:fldCharType="begin"/>
        </w:r>
        <w:r w:rsidR="006E7EC0" w:rsidRPr="00386460">
          <w:instrText>PAGE   \* MERGEFORMAT</w:instrText>
        </w:r>
        <w:r w:rsidR="006E7EC0" w:rsidRPr="00386460">
          <w:fldChar w:fldCharType="separate"/>
        </w:r>
        <w:r w:rsidR="00534DB4">
          <w:rPr>
            <w:noProof/>
          </w:rPr>
          <w:t>1</w:t>
        </w:r>
        <w:r w:rsidR="006E7EC0" w:rsidRPr="00386460">
          <w:fldChar w:fldCharType="end"/>
        </w:r>
      </w:sdtContent>
    </w:sdt>
    <w:r w:rsidR="006E7EC0">
      <w:tab/>
    </w:r>
    <w:hyperlink r:id="rId2" w:history="1">
      <w:r w:rsidR="006E7EC0" w:rsidRPr="003067FE">
        <w:rPr>
          <w:rStyle w:val="Enlla"/>
          <w:b/>
          <w:color w:val="auto"/>
          <w:u w:val="none"/>
        </w:rPr>
        <w:t>participa.gencat.cat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73A0" w14:textId="77777777" w:rsidR="00F55BE1" w:rsidRDefault="00F55BE1" w:rsidP="005E5E27">
      <w:r>
        <w:separator/>
      </w:r>
    </w:p>
  </w:footnote>
  <w:footnote w:type="continuationSeparator" w:id="0">
    <w:p w14:paraId="541B99B6" w14:textId="77777777" w:rsidR="00F55BE1" w:rsidRDefault="00F55BE1" w:rsidP="005E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0687" w14:textId="7F6926CE" w:rsidR="00A3503B" w:rsidRDefault="00127C83" w:rsidP="00386460">
    <w:pPr>
      <w:pStyle w:val="Capalera"/>
    </w:pPr>
    <w:r w:rsidRPr="00635815">
      <w:rPr>
        <w:noProof/>
      </w:rPr>
      <w:drawing>
        <wp:inline distT="0" distB="0" distL="0" distR="0" wp14:anchorId="00029FB5" wp14:editId="59BDB08A">
          <wp:extent cx="1672542" cy="484211"/>
          <wp:effectExtent l="0" t="0" r="0" b="0"/>
          <wp:docPr id="15" name="Imatge 15"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 15"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48" cy="493506"/>
                  </a:xfrm>
                  <a:prstGeom prst="rect">
                    <a:avLst/>
                  </a:prstGeom>
                  <a:noFill/>
                  <a:ln>
                    <a:noFill/>
                  </a:ln>
                </pic:spPr>
              </pic:pic>
            </a:graphicData>
          </a:graphic>
        </wp:inline>
      </w:drawing>
    </w:r>
  </w:p>
  <w:p w14:paraId="584552EA" w14:textId="6C81FCF1" w:rsidR="00692D0F" w:rsidRPr="00A37C78" w:rsidRDefault="00BD2689" w:rsidP="0037303B">
    <w:pPr>
      <w:pStyle w:val="Capalera"/>
      <w:jc w:val="right"/>
      <w:rPr>
        <w:color w:val="auto"/>
      </w:rPr>
    </w:pPr>
    <w:r w:rsidRPr="00A37C78">
      <w:rPr>
        <w:color w:val="auto"/>
      </w:rPr>
      <w:t xml:space="preserve">Eje </w:t>
    </w:r>
    <w:r w:rsidR="0037303B" w:rsidRPr="00A37C78">
      <w:rPr>
        <w:color w:val="auto"/>
      </w:rPr>
      <w:t>2</w:t>
    </w:r>
    <w:r w:rsidR="00692D0F" w:rsidRPr="00A37C78">
      <w:rPr>
        <w:color w:val="auto"/>
      </w:rPr>
      <w:t xml:space="preserve">: </w:t>
    </w:r>
    <w:proofErr w:type="spellStart"/>
    <w:r w:rsidR="0037303B" w:rsidRPr="00A37C78">
      <w:rPr>
        <w:color w:val="auto"/>
      </w:rPr>
      <w:t>Opciones</w:t>
    </w:r>
    <w:proofErr w:type="spellEnd"/>
    <w:r w:rsidR="0037303B" w:rsidRPr="00A37C78">
      <w:rPr>
        <w:color w:val="auto"/>
      </w:rPr>
      <w:t xml:space="preserve"> de </w:t>
    </w:r>
    <w:proofErr w:type="spellStart"/>
    <w:r w:rsidR="0037303B" w:rsidRPr="00A37C78">
      <w:rPr>
        <w:color w:val="auto"/>
      </w:rPr>
      <w:t>ingresos</w:t>
    </w:r>
    <w:proofErr w:type="spellEnd"/>
    <w:r w:rsidR="0037303B" w:rsidRPr="00A37C78">
      <w:rPr>
        <w:color w:val="auto"/>
      </w:rPr>
      <w:t xml:space="preserve"> para </w:t>
    </w:r>
    <w:proofErr w:type="spellStart"/>
    <w:r w:rsidR="0037303B" w:rsidRPr="00A37C78">
      <w:rPr>
        <w:color w:val="auto"/>
      </w:rPr>
      <w:t>ganar</w:t>
    </w:r>
    <w:proofErr w:type="spellEnd"/>
    <w:r w:rsidR="0037303B" w:rsidRPr="00A37C78">
      <w:rPr>
        <w:color w:val="auto"/>
      </w:rPr>
      <w:t xml:space="preserve"> </w:t>
    </w:r>
    <w:proofErr w:type="spellStart"/>
    <w:r w:rsidR="0037303B" w:rsidRPr="00A37C78">
      <w:rPr>
        <w:color w:val="auto"/>
      </w:rPr>
      <w:t>espacio</w:t>
    </w:r>
    <w:proofErr w:type="spellEnd"/>
    <w:r w:rsidR="0037303B" w:rsidRPr="00A37C78">
      <w:rPr>
        <w:color w:val="auto"/>
      </w:rPr>
      <w:t xml:space="preserve"> para financiar nuevas iniciativas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6BFB" w14:textId="0713012C" w:rsidR="006E7EC0" w:rsidRDefault="00127C83" w:rsidP="00386460">
    <w:pPr>
      <w:pStyle w:val="Capalera"/>
    </w:pPr>
    <w:r w:rsidRPr="00635815">
      <w:rPr>
        <w:noProof/>
      </w:rPr>
      <w:drawing>
        <wp:inline distT="0" distB="0" distL="0" distR="0" wp14:anchorId="7F20A370" wp14:editId="0E497C0B">
          <wp:extent cx="3669175" cy="1062248"/>
          <wp:effectExtent l="0" t="0" r="0" b="0"/>
          <wp:docPr id="14" name="Imatge 14"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tge 14"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799" cy="1073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BA54"/>
    <w:multiLevelType w:val="hybridMultilevel"/>
    <w:tmpl w:val="3A6EDCA0"/>
    <w:lvl w:ilvl="0" w:tplc="7632E858">
      <w:start w:val="1"/>
      <w:numFmt w:val="bullet"/>
      <w:lvlText w:val=""/>
      <w:lvlJc w:val="left"/>
      <w:pPr>
        <w:ind w:left="720" w:hanging="360"/>
      </w:pPr>
      <w:rPr>
        <w:rFonts w:ascii="Symbol" w:hAnsi="Symbol" w:hint="default"/>
      </w:rPr>
    </w:lvl>
    <w:lvl w:ilvl="1" w:tplc="2522F2B2">
      <w:start w:val="1"/>
      <w:numFmt w:val="bullet"/>
      <w:lvlText w:val=""/>
      <w:lvlJc w:val="left"/>
      <w:pPr>
        <w:ind w:left="1440" w:hanging="360"/>
      </w:pPr>
      <w:rPr>
        <w:rFonts w:ascii="Symbol" w:hAnsi="Symbol" w:hint="default"/>
      </w:rPr>
    </w:lvl>
    <w:lvl w:ilvl="2" w:tplc="4C9C540A">
      <w:start w:val="1"/>
      <w:numFmt w:val="bullet"/>
      <w:lvlText w:val=""/>
      <w:lvlJc w:val="left"/>
      <w:pPr>
        <w:ind w:left="2160" w:hanging="360"/>
      </w:pPr>
      <w:rPr>
        <w:rFonts w:ascii="Wingdings" w:hAnsi="Wingdings" w:hint="default"/>
      </w:rPr>
    </w:lvl>
    <w:lvl w:ilvl="3" w:tplc="7750B63C">
      <w:start w:val="1"/>
      <w:numFmt w:val="bullet"/>
      <w:lvlText w:val=""/>
      <w:lvlJc w:val="left"/>
      <w:pPr>
        <w:ind w:left="2880" w:hanging="360"/>
      </w:pPr>
      <w:rPr>
        <w:rFonts w:ascii="Symbol" w:hAnsi="Symbol" w:hint="default"/>
      </w:rPr>
    </w:lvl>
    <w:lvl w:ilvl="4" w:tplc="B7466A06">
      <w:start w:val="1"/>
      <w:numFmt w:val="bullet"/>
      <w:lvlText w:val="o"/>
      <w:lvlJc w:val="left"/>
      <w:pPr>
        <w:ind w:left="3600" w:hanging="360"/>
      </w:pPr>
      <w:rPr>
        <w:rFonts w:ascii="Courier New" w:hAnsi="Courier New" w:hint="default"/>
      </w:rPr>
    </w:lvl>
    <w:lvl w:ilvl="5" w:tplc="F54AD07C">
      <w:start w:val="1"/>
      <w:numFmt w:val="bullet"/>
      <w:lvlText w:val=""/>
      <w:lvlJc w:val="left"/>
      <w:pPr>
        <w:ind w:left="4320" w:hanging="360"/>
      </w:pPr>
      <w:rPr>
        <w:rFonts w:ascii="Wingdings" w:hAnsi="Wingdings" w:hint="default"/>
      </w:rPr>
    </w:lvl>
    <w:lvl w:ilvl="6" w:tplc="C5F4C5CE">
      <w:start w:val="1"/>
      <w:numFmt w:val="bullet"/>
      <w:lvlText w:val=""/>
      <w:lvlJc w:val="left"/>
      <w:pPr>
        <w:ind w:left="5040" w:hanging="360"/>
      </w:pPr>
      <w:rPr>
        <w:rFonts w:ascii="Symbol" w:hAnsi="Symbol" w:hint="default"/>
      </w:rPr>
    </w:lvl>
    <w:lvl w:ilvl="7" w:tplc="E3AE48A0">
      <w:start w:val="1"/>
      <w:numFmt w:val="bullet"/>
      <w:lvlText w:val="o"/>
      <w:lvlJc w:val="left"/>
      <w:pPr>
        <w:ind w:left="5760" w:hanging="360"/>
      </w:pPr>
      <w:rPr>
        <w:rFonts w:ascii="Courier New" w:hAnsi="Courier New" w:hint="default"/>
      </w:rPr>
    </w:lvl>
    <w:lvl w:ilvl="8" w:tplc="7F008ECA">
      <w:start w:val="1"/>
      <w:numFmt w:val="bullet"/>
      <w:lvlText w:val=""/>
      <w:lvlJc w:val="left"/>
      <w:pPr>
        <w:ind w:left="6480" w:hanging="360"/>
      </w:pPr>
      <w:rPr>
        <w:rFonts w:ascii="Wingdings" w:hAnsi="Wingdings" w:hint="default"/>
      </w:rPr>
    </w:lvl>
  </w:abstractNum>
  <w:abstractNum w:abstractNumId="1" w15:restartNumberingAfterBreak="0">
    <w:nsid w:val="0BBB7F27"/>
    <w:multiLevelType w:val="hybridMultilevel"/>
    <w:tmpl w:val="00DC39DE"/>
    <w:lvl w:ilvl="0" w:tplc="46AA4354">
      <w:start w:val="1"/>
      <w:numFmt w:val="bullet"/>
      <w:lvlText w:val=""/>
      <w:lvlJc w:val="left"/>
      <w:pPr>
        <w:ind w:left="720" w:hanging="360"/>
      </w:pPr>
      <w:rPr>
        <w:rFonts w:ascii="Symbol" w:hAnsi="Symbol" w:hint="default"/>
      </w:rPr>
    </w:lvl>
    <w:lvl w:ilvl="1" w:tplc="77AA30C2">
      <w:start w:val="1"/>
      <w:numFmt w:val="bullet"/>
      <w:lvlText w:val="o"/>
      <w:lvlJc w:val="left"/>
      <w:pPr>
        <w:ind w:left="1440" w:hanging="360"/>
      </w:pPr>
      <w:rPr>
        <w:rFonts w:ascii="Courier New" w:hAnsi="Courier New" w:hint="default"/>
      </w:rPr>
    </w:lvl>
    <w:lvl w:ilvl="2" w:tplc="C97AD522">
      <w:start w:val="1"/>
      <w:numFmt w:val="bullet"/>
      <w:lvlText w:val=""/>
      <w:lvlJc w:val="left"/>
      <w:pPr>
        <w:ind w:left="2160" w:hanging="360"/>
      </w:pPr>
      <w:rPr>
        <w:rFonts w:ascii="Wingdings" w:hAnsi="Wingdings" w:hint="default"/>
      </w:rPr>
    </w:lvl>
    <w:lvl w:ilvl="3" w:tplc="28083B10">
      <w:start w:val="1"/>
      <w:numFmt w:val="bullet"/>
      <w:lvlText w:val=""/>
      <w:lvlJc w:val="left"/>
      <w:pPr>
        <w:ind w:left="2880" w:hanging="360"/>
      </w:pPr>
      <w:rPr>
        <w:rFonts w:ascii="Symbol" w:hAnsi="Symbol" w:hint="default"/>
      </w:rPr>
    </w:lvl>
    <w:lvl w:ilvl="4" w:tplc="49129460">
      <w:start w:val="1"/>
      <w:numFmt w:val="bullet"/>
      <w:lvlText w:val="o"/>
      <w:lvlJc w:val="left"/>
      <w:pPr>
        <w:ind w:left="3600" w:hanging="360"/>
      </w:pPr>
      <w:rPr>
        <w:rFonts w:ascii="Courier New" w:hAnsi="Courier New" w:hint="default"/>
      </w:rPr>
    </w:lvl>
    <w:lvl w:ilvl="5" w:tplc="C45CAA9C">
      <w:start w:val="1"/>
      <w:numFmt w:val="bullet"/>
      <w:lvlText w:val=""/>
      <w:lvlJc w:val="left"/>
      <w:pPr>
        <w:ind w:left="4320" w:hanging="360"/>
      </w:pPr>
      <w:rPr>
        <w:rFonts w:ascii="Wingdings" w:hAnsi="Wingdings" w:hint="default"/>
      </w:rPr>
    </w:lvl>
    <w:lvl w:ilvl="6" w:tplc="B5D0A306">
      <w:start w:val="1"/>
      <w:numFmt w:val="bullet"/>
      <w:lvlText w:val=""/>
      <w:lvlJc w:val="left"/>
      <w:pPr>
        <w:ind w:left="5040" w:hanging="360"/>
      </w:pPr>
      <w:rPr>
        <w:rFonts w:ascii="Symbol" w:hAnsi="Symbol" w:hint="default"/>
      </w:rPr>
    </w:lvl>
    <w:lvl w:ilvl="7" w:tplc="9DDA3D52">
      <w:start w:val="1"/>
      <w:numFmt w:val="bullet"/>
      <w:lvlText w:val="o"/>
      <w:lvlJc w:val="left"/>
      <w:pPr>
        <w:ind w:left="5760" w:hanging="360"/>
      </w:pPr>
      <w:rPr>
        <w:rFonts w:ascii="Courier New" w:hAnsi="Courier New" w:hint="default"/>
      </w:rPr>
    </w:lvl>
    <w:lvl w:ilvl="8" w:tplc="F53487C6">
      <w:start w:val="1"/>
      <w:numFmt w:val="bullet"/>
      <w:lvlText w:val=""/>
      <w:lvlJc w:val="left"/>
      <w:pPr>
        <w:ind w:left="6480" w:hanging="360"/>
      </w:pPr>
      <w:rPr>
        <w:rFonts w:ascii="Wingdings" w:hAnsi="Wingdings" w:hint="default"/>
      </w:rPr>
    </w:lvl>
  </w:abstractNum>
  <w:abstractNum w:abstractNumId="2" w15:restartNumberingAfterBreak="0">
    <w:nsid w:val="13A2BFFE"/>
    <w:multiLevelType w:val="hybridMultilevel"/>
    <w:tmpl w:val="2FC616DA"/>
    <w:lvl w:ilvl="0" w:tplc="F788D784">
      <w:start w:val="1"/>
      <w:numFmt w:val="bullet"/>
      <w:lvlText w:val=""/>
      <w:lvlJc w:val="left"/>
      <w:pPr>
        <w:ind w:left="720" w:hanging="360"/>
      </w:pPr>
      <w:rPr>
        <w:rFonts w:ascii="Symbol" w:hAnsi="Symbol" w:hint="default"/>
      </w:rPr>
    </w:lvl>
    <w:lvl w:ilvl="1" w:tplc="9C1A085E">
      <w:start w:val="1"/>
      <w:numFmt w:val="bullet"/>
      <w:lvlText w:val="o"/>
      <w:lvlJc w:val="left"/>
      <w:pPr>
        <w:ind w:left="1440" w:hanging="360"/>
      </w:pPr>
      <w:rPr>
        <w:rFonts w:ascii="Courier New" w:hAnsi="Courier New" w:hint="default"/>
      </w:rPr>
    </w:lvl>
    <w:lvl w:ilvl="2" w:tplc="38D013F6">
      <w:start w:val="1"/>
      <w:numFmt w:val="bullet"/>
      <w:lvlText w:val=""/>
      <w:lvlJc w:val="left"/>
      <w:pPr>
        <w:ind w:left="2160" w:hanging="360"/>
      </w:pPr>
      <w:rPr>
        <w:rFonts w:ascii="Wingdings" w:hAnsi="Wingdings" w:hint="default"/>
      </w:rPr>
    </w:lvl>
    <w:lvl w:ilvl="3" w:tplc="1EEEFF3A">
      <w:start w:val="1"/>
      <w:numFmt w:val="bullet"/>
      <w:lvlText w:val=""/>
      <w:lvlJc w:val="left"/>
      <w:pPr>
        <w:ind w:left="2880" w:hanging="360"/>
      </w:pPr>
      <w:rPr>
        <w:rFonts w:ascii="Symbol" w:hAnsi="Symbol" w:hint="default"/>
      </w:rPr>
    </w:lvl>
    <w:lvl w:ilvl="4" w:tplc="0FE2BDBC">
      <w:start w:val="1"/>
      <w:numFmt w:val="bullet"/>
      <w:lvlText w:val="o"/>
      <w:lvlJc w:val="left"/>
      <w:pPr>
        <w:ind w:left="3600" w:hanging="360"/>
      </w:pPr>
      <w:rPr>
        <w:rFonts w:ascii="Courier New" w:hAnsi="Courier New" w:hint="default"/>
      </w:rPr>
    </w:lvl>
    <w:lvl w:ilvl="5" w:tplc="730E7C80">
      <w:start w:val="1"/>
      <w:numFmt w:val="bullet"/>
      <w:lvlText w:val=""/>
      <w:lvlJc w:val="left"/>
      <w:pPr>
        <w:ind w:left="4320" w:hanging="360"/>
      </w:pPr>
      <w:rPr>
        <w:rFonts w:ascii="Wingdings" w:hAnsi="Wingdings" w:hint="default"/>
      </w:rPr>
    </w:lvl>
    <w:lvl w:ilvl="6" w:tplc="B7F857AE">
      <w:start w:val="1"/>
      <w:numFmt w:val="bullet"/>
      <w:lvlText w:val=""/>
      <w:lvlJc w:val="left"/>
      <w:pPr>
        <w:ind w:left="5040" w:hanging="360"/>
      </w:pPr>
      <w:rPr>
        <w:rFonts w:ascii="Symbol" w:hAnsi="Symbol" w:hint="default"/>
      </w:rPr>
    </w:lvl>
    <w:lvl w:ilvl="7" w:tplc="1B9201CA">
      <w:start w:val="1"/>
      <w:numFmt w:val="bullet"/>
      <w:lvlText w:val="o"/>
      <w:lvlJc w:val="left"/>
      <w:pPr>
        <w:ind w:left="5760" w:hanging="360"/>
      </w:pPr>
      <w:rPr>
        <w:rFonts w:ascii="Courier New" w:hAnsi="Courier New" w:hint="default"/>
      </w:rPr>
    </w:lvl>
    <w:lvl w:ilvl="8" w:tplc="0A6C4F9A">
      <w:start w:val="1"/>
      <w:numFmt w:val="bullet"/>
      <w:lvlText w:val=""/>
      <w:lvlJc w:val="left"/>
      <w:pPr>
        <w:ind w:left="6480" w:hanging="360"/>
      </w:pPr>
      <w:rPr>
        <w:rFonts w:ascii="Wingdings" w:hAnsi="Wingdings" w:hint="default"/>
      </w:rPr>
    </w:lvl>
  </w:abstractNum>
  <w:abstractNum w:abstractNumId="3" w15:restartNumberingAfterBreak="0">
    <w:nsid w:val="15B8707D"/>
    <w:multiLevelType w:val="hybridMultilevel"/>
    <w:tmpl w:val="596CDD6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A31744A"/>
    <w:multiLevelType w:val="hybridMultilevel"/>
    <w:tmpl w:val="4B707C38"/>
    <w:lvl w:ilvl="0" w:tplc="7BAE3BEE">
      <w:start w:val="1"/>
      <w:numFmt w:val="bullet"/>
      <w:lvlText w:val=""/>
      <w:lvlJc w:val="left"/>
      <w:pPr>
        <w:ind w:left="1068" w:hanging="360"/>
      </w:pPr>
      <w:rPr>
        <w:rFonts w:ascii="Symbol" w:hAnsi="Symbol" w:hint="default"/>
      </w:rPr>
    </w:lvl>
    <w:lvl w:ilvl="1" w:tplc="9E361B9A">
      <w:start w:val="1"/>
      <w:numFmt w:val="bullet"/>
      <w:lvlText w:val="o"/>
      <w:lvlJc w:val="left"/>
      <w:pPr>
        <w:ind w:left="1788" w:hanging="360"/>
      </w:pPr>
      <w:rPr>
        <w:rFonts w:ascii="Courier New" w:hAnsi="Courier New" w:hint="default"/>
      </w:rPr>
    </w:lvl>
    <w:lvl w:ilvl="2" w:tplc="30881C98" w:tentative="1">
      <w:start w:val="1"/>
      <w:numFmt w:val="bullet"/>
      <w:lvlText w:val=""/>
      <w:lvlJc w:val="left"/>
      <w:pPr>
        <w:ind w:left="2508" w:hanging="360"/>
      </w:pPr>
      <w:rPr>
        <w:rFonts w:ascii="Wingdings" w:hAnsi="Wingdings" w:hint="default"/>
      </w:rPr>
    </w:lvl>
    <w:lvl w:ilvl="3" w:tplc="367C8468" w:tentative="1">
      <w:start w:val="1"/>
      <w:numFmt w:val="bullet"/>
      <w:lvlText w:val=""/>
      <w:lvlJc w:val="left"/>
      <w:pPr>
        <w:ind w:left="3228" w:hanging="360"/>
      </w:pPr>
      <w:rPr>
        <w:rFonts w:ascii="Symbol" w:hAnsi="Symbol" w:hint="default"/>
      </w:rPr>
    </w:lvl>
    <w:lvl w:ilvl="4" w:tplc="FEFA61D6" w:tentative="1">
      <w:start w:val="1"/>
      <w:numFmt w:val="bullet"/>
      <w:lvlText w:val="o"/>
      <w:lvlJc w:val="left"/>
      <w:pPr>
        <w:ind w:left="3948" w:hanging="360"/>
      </w:pPr>
      <w:rPr>
        <w:rFonts w:ascii="Courier New" w:hAnsi="Courier New" w:hint="default"/>
      </w:rPr>
    </w:lvl>
    <w:lvl w:ilvl="5" w:tplc="C666C7E6" w:tentative="1">
      <w:start w:val="1"/>
      <w:numFmt w:val="bullet"/>
      <w:lvlText w:val=""/>
      <w:lvlJc w:val="left"/>
      <w:pPr>
        <w:ind w:left="4668" w:hanging="360"/>
      </w:pPr>
      <w:rPr>
        <w:rFonts w:ascii="Wingdings" w:hAnsi="Wingdings" w:hint="default"/>
      </w:rPr>
    </w:lvl>
    <w:lvl w:ilvl="6" w:tplc="58263870" w:tentative="1">
      <w:start w:val="1"/>
      <w:numFmt w:val="bullet"/>
      <w:lvlText w:val=""/>
      <w:lvlJc w:val="left"/>
      <w:pPr>
        <w:ind w:left="5388" w:hanging="360"/>
      </w:pPr>
      <w:rPr>
        <w:rFonts w:ascii="Symbol" w:hAnsi="Symbol" w:hint="default"/>
      </w:rPr>
    </w:lvl>
    <w:lvl w:ilvl="7" w:tplc="A5D8BD9C" w:tentative="1">
      <w:start w:val="1"/>
      <w:numFmt w:val="bullet"/>
      <w:lvlText w:val="o"/>
      <w:lvlJc w:val="left"/>
      <w:pPr>
        <w:ind w:left="6108" w:hanging="360"/>
      </w:pPr>
      <w:rPr>
        <w:rFonts w:ascii="Courier New" w:hAnsi="Courier New" w:hint="default"/>
      </w:rPr>
    </w:lvl>
    <w:lvl w:ilvl="8" w:tplc="8CEA6B12" w:tentative="1">
      <w:start w:val="1"/>
      <w:numFmt w:val="bullet"/>
      <w:lvlText w:val=""/>
      <w:lvlJc w:val="left"/>
      <w:pPr>
        <w:ind w:left="6828" w:hanging="360"/>
      </w:pPr>
      <w:rPr>
        <w:rFonts w:ascii="Wingdings" w:hAnsi="Wingdings" w:hint="default"/>
      </w:rPr>
    </w:lvl>
  </w:abstractNum>
  <w:abstractNum w:abstractNumId="5" w15:restartNumberingAfterBreak="0">
    <w:nsid w:val="1BDC2D2E"/>
    <w:multiLevelType w:val="hybridMultilevel"/>
    <w:tmpl w:val="34CCE85C"/>
    <w:lvl w:ilvl="0" w:tplc="B14680B8">
      <w:start w:val="1"/>
      <w:numFmt w:val="lowerLetter"/>
      <w:lvlText w:val="%1)"/>
      <w:lvlJc w:val="left"/>
      <w:pPr>
        <w:ind w:left="720" w:hanging="360"/>
      </w:pPr>
    </w:lvl>
    <w:lvl w:ilvl="1" w:tplc="7B560968">
      <w:start w:val="1"/>
      <w:numFmt w:val="lowerLetter"/>
      <w:lvlText w:val="%2."/>
      <w:lvlJc w:val="left"/>
      <w:pPr>
        <w:ind w:left="1440" w:hanging="360"/>
      </w:pPr>
    </w:lvl>
    <w:lvl w:ilvl="2" w:tplc="3F40E868">
      <w:start w:val="1"/>
      <w:numFmt w:val="lowerRoman"/>
      <w:lvlText w:val="%3."/>
      <w:lvlJc w:val="right"/>
      <w:pPr>
        <w:ind w:left="2160" w:hanging="180"/>
      </w:pPr>
    </w:lvl>
    <w:lvl w:ilvl="3" w:tplc="82B4BE24">
      <w:start w:val="1"/>
      <w:numFmt w:val="decimal"/>
      <w:lvlText w:val="%4."/>
      <w:lvlJc w:val="left"/>
      <w:pPr>
        <w:ind w:left="2880" w:hanging="360"/>
      </w:pPr>
    </w:lvl>
    <w:lvl w:ilvl="4" w:tplc="F4D88AC4">
      <w:start w:val="1"/>
      <w:numFmt w:val="lowerLetter"/>
      <w:lvlText w:val="%5."/>
      <w:lvlJc w:val="left"/>
      <w:pPr>
        <w:ind w:left="3600" w:hanging="360"/>
      </w:pPr>
    </w:lvl>
    <w:lvl w:ilvl="5" w:tplc="13BEC326">
      <w:start w:val="1"/>
      <w:numFmt w:val="lowerRoman"/>
      <w:lvlText w:val="%6."/>
      <w:lvlJc w:val="right"/>
      <w:pPr>
        <w:ind w:left="4320" w:hanging="180"/>
      </w:pPr>
    </w:lvl>
    <w:lvl w:ilvl="6" w:tplc="28442504">
      <w:start w:val="1"/>
      <w:numFmt w:val="decimal"/>
      <w:lvlText w:val="%7."/>
      <w:lvlJc w:val="left"/>
      <w:pPr>
        <w:ind w:left="5040" w:hanging="360"/>
      </w:pPr>
    </w:lvl>
    <w:lvl w:ilvl="7" w:tplc="96828576">
      <w:start w:val="1"/>
      <w:numFmt w:val="lowerLetter"/>
      <w:lvlText w:val="%8."/>
      <w:lvlJc w:val="left"/>
      <w:pPr>
        <w:ind w:left="5760" w:hanging="360"/>
      </w:pPr>
    </w:lvl>
    <w:lvl w:ilvl="8" w:tplc="5E3A324A">
      <w:start w:val="1"/>
      <w:numFmt w:val="lowerRoman"/>
      <w:lvlText w:val="%9."/>
      <w:lvlJc w:val="right"/>
      <w:pPr>
        <w:ind w:left="6480" w:hanging="180"/>
      </w:pPr>
    </w:lvl>
  </w:abstractNum>
  <w:abstractNum w:abstractNumId="6" w15:restartNumberingAfterBreak="0">
    <w:nsid w:val="24595D1F"/>
    <w:multiLevelType w:val="hybridMultilevel"/>
    <w:tmpl w:val="2334C762"/>
    <w:lvl w:ilvl="0" w:tplc="A1188542">
      <w:start w:val="1"/>
      <w:numFmt w:val="bullet"/>
      <w:lvlText w:val=""/>
      <w:lvlJc w:val="left"/>
      <w:pPr>
        <w:ind w:left="1068" w:hanging="360"/>
      </w:pPr>
      <w:rPr>
        <w:rFonts w:ascii="Symbol" w:hAnsi="Symbol" w:hint="default"/>
      </w:rPr>
    </w:lvl>
    <w:lvl w:ilvl="1" w:tplc="C374F41E">
      <w:start w:val="1"/>
      <w:numFmt w:val="bullet"/>
      <w:lvlText w:val=""/>
      <w:lvlJc w:val="left"/>
      <w:pPr>
        <w:ind w:left="1788" w:hanging="360"/>
      </w:pPr>
      <w:rPr>
        <w:rFonts w:ascii="Symbol" w:hAnsi="Symbol" w:hint="default"/>
      </w:rPr>
    </w:lvl>
    <w:lvl w:ilvl="2" w:tplc="EBE2BC7C">
      <w:start w:val="1"/>
      <w:numFmt w:val="bullet"/>
      <w:lvlText w:val=""/>
      <w:lvlJc w:val="left"/>
      <w:pPr>
        <w:ind w:left="2508" w:hanging="360"/>
      </w:pPr>
      <w:rPr>
        <w:rFonts w:ascii="Wingdings" w:hAnsi="Wingdings" w:hint="default"/>
      </w:rPr>
    </w:lvl>
    <w:lvl w:ilvl="3" w:tplc="65E8F880">
      <w:start w:val="1"/>
      <w:numFmt w:val="bullet"/>
      <w:lvlText w:val=""/>
      <w:lvlJc w:val="left"/>
      <w:pPr>
        <w:ind w:left="3228" w:hanging="360"/>
      </w:pPr>
      <w:rPr>
        <w:rFonts w:ascii="Symbol" w:hAnsi="Symbol" w:hint="default"/>
      </w:rPr>
    </w:lvl>
    <w:lvl w:ilvl="4" w:tplc="F8D0F7C4">
      <w:start w:val="1"/>
      <w:numFmt w:val="bullet"/>
      <w:lvlText w:val="o"/>
      <w:lvlJc w:val="left"/>
      <w:pPr>
        <w:ind w:left="3948" w:hanging="360"/>
      </w:pPr>
      <w:rPr>
        <w:rFonts w:ascii="Courier New" w:hAnsi="Courier New" w:hint="default"/>
      </w:rPr>
    </w:lvl>
    <w:lvl w:ilvl="5" w:tplc="BDC26D20">
      <w:start w:val="1"/>
      <w:numFmt w:val="bullet"/>
      <w:lvlText w:val=""/>
      <w:lvlJc w:val="left"/>
      <w:pPr>
        <w:ind w:left="4668" w:hanging="360"/>
      </w:pPr>
      <w:rPr>
        <w:rFonts w:ascii="Wingdings" w:hAnsi="Wingdings" w:hint="default"/>
      </w:rPr>
    </w:lvl>
    <w:lvl w:ilvl="6" w:tplc="DEF6016C">
      <w:start w:val="1"/>
      <w:numFmt w:val="bullet"/>
      <w:lvlText w:val=""/>
      <w:lvlJc w:val="left"/>
      <w:pPr>
        <w:ind w:left="5388" w:hanging="360"/>
      </w:pPr>
      <w:rPr>
        <w:rFonts w:ascii="Symbol" w:hAnsi="Symbol" w:hint="default"/>
      </w:rPr>
    </w:lvl>
    <w:lvl w:ilvl="7" w:tplc="EAB0213E">
      <w:start w:val="1"/>
      <w:numFmt w:val="bullet"/>
      <w:lvlText w:val="o"/>
      <w:lvlJc w:val="left"/>
      <w:pPr>
        <w:ind w:left="6108" w:hanging="360"/>
      </w:pPr>
      <w:rPr>
        <w:rFonts w:ascii="Courier New" w:hAnsi="Courier New" w:hint="default"/>
      </w:rPr>
    </w:lvl>
    <w:lvl w:ilvl="8" w:tplc="B7F82B08">
      <w:start w:val="1"/>
      <w:numFmt w:val="bullet"/>
      <w:lvlText w:val=""/>
      <w:lvlJc w:val="left"/>
      <w:pPr>
        <w:ind w:left="6828" w:hanging="360"/>
      </w:pPr>
      <w:rPr>
        <w:rFonts w:ascii="Wingdings" w:hAnsi="Wingdings" w:hint="default"/>
      </w:rPr>
    </w:lvl>
  </w:abstractNum>
  <w:abstractNum w:abstractNumId="7" w15:restartNumberingAfterBreak="0">
    <w:nsid w:val="2689DD00"/>
    <w:multiLevelType w:val="hybridMultilevel"/>
    <w:tmpl w:val="9D962756"/>
    <w:lvl w:ilvl="0" w:tplc="791A5346">
      <w:start w:val="1"/>
      <w:numFmt w:val="bullet"/>
      <w:lvlText w:val=""/>
      <w:lvlJc w:val="left"/>
      <w:pPr>
        <w:ind w:left="360" w:hanging="360"/>
      </w:pPr>
      <w:rPr>
        <w:rFonts w:ascii="Symbol" w:hAnsi="Symbol" w:hint="default"/>
      </w:rPr>
    </w:lvl>
    <w:lvl w:ilvl="1" w:tplc="07D48F28">
      <w:start w:val="1"/>
      <w:numFmt w:val="bullet"/>
      <w:lvlText w:val="o"/>
      <w:lvlJc w:val="left"/>
      <w:pPr>
        <w:ind w:left="1080" w:hanging="360"/>
      </w:pPr>
      <w:rPr>
        <w:rFonts w:ascii="Courier New" w:hAnsi="Courier New" w:hint="default"/>
      </w:rPr>
    </w:lvl>
    <w:lvl w:ilvl="2" w:tplc="718ED55A">
      <w:start w:val="1"/>
      <w:numFmt w:val="bullet"/>
      <w:lvlText w:val=""/>
      <w:lvlJc w:val="left"/>
      <w:pPr>
        <w:ind w:left="1800" w:hanging="360"/>
      </w:pPr>
      <w:rPr>
        <w:rFonts w:ascii="Wingdings" w:hAnsi="Wingdings" w:hint="default"/>
      </w:rPr>
    </w:lvl>
    <w:lvl w:ilvl="3" w:tplc="6F209F38">
      <w:start w:val="1"/>
      <w:numFmt w:val="bullet"/>
      <w:lvlText w:val=""/>
      <w:lvlJc w:val="left"/>
      <w:pPr>
        <w:ind w:left="2520" w:hanging="360"/>
      </w:pPr>
      <w:rPr>
        <w:rFonts w:ascii="Symbol" w:hAnsi="Symbol" w:hint="default"/>
      </w:rPr>
    </w:lvl>
    <w:lvl w:ilvl="4" w:tplc="CAE67240">
      <w:start w:val="1"/>
      <w:numFmt w:val="bullet"/>
      <w:lvlText w:val="o"/>
      <w:lvlJc w:val="left"/>
      <w:pPr>
        <w:ind w:left="3240" w:hanging="360"/>
      </w:pPr>
      <w:rPr>
        <w:rFonts w:ascii="Courier New" w:hAnsi="Courier New" w:hint="default"/>
      </w:rPr>
    </w:lvl>
    <w:lvl w:ilvl="5" w:tplc="9D08E632">
      <w:start w:val="1"/>
      <w:numFmt w:val="bullet"/>
      <w:lvlText w:val=""/>
      <w:lvlJc w:val="left"/>
      <w:pPr>
        <w:ind w:left="3960" w:hanging="360"/>
      </w:pPr>
      <w:rPr>
        <w:rFonts w:ascii="Wingdings" w:hAnsi="Wingdings" w:hint="default"/>
      </w:rPr>
    </w:lvl>
    <w:lvl w:ilvl="6" w:tplc="927046B2">
      <w:start w:val="1"/>
      <w:numFmt w:val="bullet"/>
      <w:lvlText w:val=""/>
      <w:lvlJc w:val="left"/>
      <w:pPr>
        <w:ind w:left="4680" w:hanging="360"/>
      </w:pPr>
      <w:rPr>
        <w:rFonts w:ascii="Symbol" w:hAnsi="Symbol" w:hint="default"/>
      </w:rPr>
    </w:lvl>
    <w:lvl w:ilvl="7" w:tplc="851291CE">
      <w:start w:val="1"/>
      <w:numFmt w:val="bullet"/>
      <w:lvlText w:val="o"/>
      <w:lvlJc w:val="left"/>
      <w:pPr>
        <w:ind w:left="5400" w:hanging="360"/>
      </w:pPr>
      <w:rPr>
        <w:rFonts w:ascii="Courier New" w:hAnsi="Courier New" w:hint="default"/>
      </w:rPr>
    </w:lvl>
    <w:lvl w:ilvl="8" w:tplc="1F36D654">
      <w:start w:val="1"/>
      <w:numFmt w:val="bullet"/>
      <w:lvlText w:val=""/>
      <w:lvlJc w:val="left"/>
      <w:pPr>
        <w:ind w:left="6120" w:hanging="360"/>
      </w:pPr>
      <w:rPr>
        <w:rFonts w:ascii="Wingdings" w:hAnsi="Wingdings" w:hint="default"/>
      </w:rPr>
    </w:lvl>
  </w:abstractNum>
  <w:abstractNum w:abstractNumId="8" w15:restartNumberingAfterBreak="0">
    <w:nsid w:val="281E4096"/>
    <w:multiLevelType w:val="hybridMultilevel"/>
    <w:tmpl w:val="1CB0E3E0"/>
    <w:lvl w:ilvl="0" w:tplc="955200AC">
      <w:start w:val="1"/>
      <w:numFmt w:val="bullet"/>
      <w:pStyle w:val="Llistapunts2"/>
      <w:lvlText w:val=""/>
      <w:lvlJc w:val="left"/>
      <w:pPr>
        <w:ind w:left="720" w:hanging="360"/>
      </w:pPr>
      <w:rPr>
        <w:rFonts w:ascii="Symbol" w:hAnsi="Symbol" w:hint="default"/>
        <w:color w:val="ED7D3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EAD7159"/>
    <w:multiLevelType w:val="hybridMultilevel"/>
    <w:tmpl w:val="825EC18E"/>
    <w:lvl w:ilvl="0" w:tplc="04030001">
      <w:start w:val="1"/>
      <w:numFmt w:val="bullet"/>
      <w:lvlText w:val=""/>
      <w:lvlJc w:val="left"/>
      <w:pPr>
        <w:ind w:left="765" w:hanging="360"/>
      </w:pPr>
      <w:rPr>
        <w:rFonts w:ascii="Symbol" w:hAnsi="Symbol" w:hint="default"/>
      </w:rPr>
    </w:lvl>
    <w:lvl w:ilvl="1" w:tplc="04030003" w:tentative="1">
      <w:start w:val="1"/>
      <w:numFmt w:val="bullet"/>
      <w:lvlText w:val="o"/>
      <w:lvlJc w:val="left"/>
      <w:pPr>
        <w:ind w:left="1485" w:hanging="360"/>
      </w:pPr>
      <w:rPr>
        <w:rFonts w:ascii="Courier New" w:hAnsi="Courier New" w:cs="Courier New" w:hint="default"/>
      </w:rPr>
    </w:lvl>
    <w:lvl w:ilvl="2" w:tplc="04030005" w:tentative="1">
      <w:start w:val="1"/>
      <w:numFmt w:val="bullet"/>
      <w:lvlText w:val=""/>
      <w:lvlJc w:val="left"/>
      <w:pPr>
        <w:ind w:left="2205" w:hanging="360"/>
      </w:pPr>
      <w:rPr>
        <w:rFonts w:ascii="Wingdings" w:hAnsi="Wingdings" w:hint="default"/>
      </w:rPr>
    </w:lvl>
    <w:lvl w:ilvl="3" w:tplc="04030001" w:tentative="1">
      <w:start w:val="1"/>
      <w:numFmt w:val="bullet"/>
      <w:lvlText w:val=""/>
      <w:lvlJc w:val="left"/>
      <w:pPr>
        <w:ind w:left="2925" w:hanging="360"/>
      </w:pPr>
      <w:rPr>
        <w:rFonts w:ascii="Symbol" w:hAnsi="Symbol" w:hint="default"/>
      </w:rPr>
    </w:lvl>
    <w:lvl w:ilvl="4" w:tplc="04030003" w:tentative="1">
      <w:start w:val="1"/>
      <w:numFmt w:val="bullet"/>
      <w:lvlText w:val="o"/>
      <w:lvlJc w:val="left"/>
      <w:pPr>
        <w:ind w:left="3645" w:hanging="360"/>
      </w:pPr>
      <w:rPr>
        <w:rFonts w:ascii="Courier New" w:hAnsi="Courier New" w:cs="Courier New" w:hint="default"/>
      </w:rPr>
    </w:lvl>
    <w:lvl w:ilvl="5" w:tplc="04030005" w:tentative="1">
      <w:start w:val="1"/>
      <w:numFmt w:val="bullet"/>
      <w:lvlText w:val=""/>
      <w:lvlJc w:val="left"/>
      <w:pPr>
        <w:ind w:left="4365" w:hanging="360"/>
      </w:pPr>
      <w:rPr>
        <w:rFonts w:ascii="Wingdings" w:hAnsi="Wingdings" w:hint="default"/>
      </w:rPr>
    </w:lvl>
    <w:lvl w:ilvl="6" w:tplc="04030001" w:tentative="1">
      <w:start w:val="1"/>
      <w:numFmt w:val="bullet"/>
      <w:lvlText w:val=""/>
      <w:lvlJc w:val="left"/>
      <w:pPr>
        <w:ind w:left="5085" w:hanging="360"/>
      </w:pPr>
      <w:rPr>
        <w:rFonts w:ascii="Symbol" w:hAnsi="Symbol" w:hint="default"/>
      </w:rPr>
    </w:lvl>
    <w:lvl w:ilvl="7" w:tplc="04030003" w:tentative="1">
      <w:start w:val="1"/>
      <w:numFmt w:val="bullet"/>
      <w:lvlText w:val="o"/>
      <w:lvlJc w:val="left"/>
      <w:pPr>
        <w:ind w:left="5805" w:hanging="360"/>
      </w:pPr>
      <w:rPr>
        <w:rFonts w:ascii="Courier New" w:hAnsi="Courier New" w:cs="Courier New" w:hint="default"/>
      </w:rPr>
    </w:lvl>
    <w:lvl w:ilvl="8" w:tplc="04030005" w:tentative="1">
      <w:start w:val="1"/>
      <w:numFmt w:val="bullet"/>
      <w:lvlText w:val=""/>
      <w:lvlJc w:val="left"/>
      <w:pPr>
        <w:ind w:left="6525" w:hanging="360"/>
      </w:pPr>
      <w:rPr>
        <w:rFonts w:ascii="Wingdings" w:hAnsi="Wingdings" w:hint="default"/>
      </w:rPr>
    </w:lvl>
  </w:abstractNum>
  <w:abstractNum w:abstractNumId="10" w15:restartNumberingAfterBreak="0">
    <w:nsid w:val="368B5BC1"/>
    <w:multiLevelType w:val="hybridMultilevel"/>
    <w:tmpl w:val="4216A496"/>
    <w:lvl w:ilvl="0" w:tplc="B238B2C2">
      <w:start w:val="1"/>
      <w:numFmt w:val="bullet"/>
      <w:lvlText w:val=""/>
      <w:lvlJc w:val="left"/>
      <w:pPr>
        <w:ind w:left="720" w:hanging="360"/>
      </w:pPr>
      <w:rPr>
        <w:rFonts w:ascii="Symbol" w:hAnsi="Symbol" w:hint="default"/>
      </w:rPr>
    </w:lvl>
    <w:lvl w:ilvl="1" w:tplc="4FCA4858">
      <w:start w:val="1"/>
      <w:numFmt w:val="bullet"/>
      <w:lvlText w:val="o"/>
      <w:lvlJc w:val="left"/>
      <w:pPr>
        <w:ind w:left="1440" w:hanging="360"/>
      </w:pPr>
      <w:rPr>
        <w:rFonts w:ascii="Courier New" w:hAnsi="Courier New" w:hint="default"/>
      </w:rPr>
    </w:lvl>
    <w:lvl w:ilvl="2" w:tplc="E8AA507E">
      <w:start w:val="1"/>
      <w:numFmt w:val="bullet"/>
      <w:lvlText w:val=""/>
      <w:lvlJc w:val="left"/>
      <w:pPr>
        <w:ind w:left="2160" w:hanging="360"/>
      </w:pPr>
      <w:rPr>
        <w:rFonts w:ascii="Wingdings" w:hAnsi="Wingdings" w:hint="default"/>
      </w:rPr>
    </w:lvl>
    <w:lvl w:ilvl="3" w:tplc="5FAA97CE">
      <w:start w:val="1"/>
      <w:numFmt w:val="bullet"/>
      <w:lvlText w:val=""/>
      <w:lvlJc w:val="left"/>
      <w:pPr>
        <w:ind w:left="2880" w:hanging="360"/>
      </w:pPr>
      <w:rPr>
        <w:rFonts w:ascii="Symbol" w:hAnsi="Symbol" w:hint="default"/>
      </w:rPr>
    </w:lvl>
    <w:lvl w:ilvl="4" w:tplc="63BC8364">
      <w:start w:val="1"/>
      <w:numFmt w:val="bullet"/>
      <w:lvlText w:val="o"/>
      <w:lvlJc w:val="left"/>
      <w:pPr>
        <w:ind w:left="3600" w:hanging="360"/>
      </w:pPr>
      <w:rPr>
        <w:rFonts w:ascii="Courier New" w:hAnsi="Courier New" w:hint="default"/>
      </w:rPr>
    </w:lvl>
    <w:lvl w:ilvl="5" w:tplc="26B070B4">
      <w:start w:val="1"/>
      <w:numFmt w:val="bullet"/>
      <w:lvlText w:val=""/>
      <w:lvlJc w:val="left"/>
      <w:pPr>
        <w:ind w:left="4320" w:hanging="360"/>
      </w:pPr>
      <w:rPr>
        <w:rFonts w:ascii="Wingdings" w:hAnsi="Wingdings" w:hint="default"/>
      </w:rPr>
    </w:lvl>
    <w:lvl w:ilvl="6" w:tplc="358EE23C">
      <w:start w:val="1"/>
      <w:numFmt w:val="bullet"/>
      <w:lvlText w:val=""/>
      <w:lvlJc w:val="left"/>
      <w:pPr>
        <w:ind w:left="5040" w:hanging="360"/>
      </w:pPr>
      <w:rPr>
        <w:rFonts w:ascii="Symbol" w:hAnsi="Symbol" w:hint="default"/>
      </w:rPr>
    </w:lvl>
    <w:lvl w:ilvl="7" w:tplc="9A843BAA">
      <w:start w:val="1"/>
      <w:numFmt w:val="bullet"/>
      <w:lvlText w:val="o"/>
      <w:lvlJc w:val="left"/>
      <w:pPr>
        <w:ind w:left="5760" w:hanging="360"/>
      </w:pPr>
      <w:rPr>
        <w:rFonts w:ascii="Courier New" w:hAnsi="Courier New" w:hint="default"/>
      </w:rPr>
    </w:lvl>
    <w:lvl w:ilvl="8" w:tplc="4B10FC56">
      <w:start w:val="1"/>
      <w:numFmt w:val="bullet"/>
      <w:lvlText w:val=""/>
      <w:lvlJc w:val="left"/>
      <w:pPr>
        <w:ind w:left="6480" w:hanging="360"/>
      </w:pPr>
      <w:rPr>
        <w:rFonts w:ascii="Wingdings" w:hAnsi="Wingdings" w:hint="default"/>
      </w:rPr>
    </w:lvl>
  </w:abstractNum>
  <w:abstractNum w:abstractNumId="11" w15:restartNumberingAfterBreak="0">
    <w:nsid w:val="3FA41B5A"/>
    <w:multiLevelType w:val="hybridMultilevel"/>
    <w:tmpl w:val="AD788148"/>
    <w:lvl w:ilvl="0" w:tplc="05B8D8D4">
      <w:start w:val="1"/>
      <w:numFmt w:val="bullet"/>
      <w:lvlText w:val=""/>
      <w:lvlJc w:val="left"/>
      <w:pPr>
        <w:ind w:left="720" w:hanging="360"/>
      </w:pPr>
      <w:rPr>
        <w:rFonts w:ascii="Symbol" w:hAnsi="Symbol" w:hint="default"/>
      </w:rPr>
    </w:lvl>
    <w:lvl w:ilvl="1" w:tplc="B7A840B0">
      <w:start w:val="1"/>
      <w:numFmt w:val="bullet"/>
      <w:lvlText w:val="o"/>
      <w:lvlJc w:val="left"/>
      <w:pPr>
        <w:ind w:left="1440" w:hanging="360"/>
      </w:pPr>
      <w:rPr>
        <w:rFonts w:ascii="Courier New" w:hAnsi="Courier New" w:hint="default"/>
      </w:rPr>
    </w:lvl>
    <w:lvl w:ilvl="2" w:tplc="0C0CA8A4">
      <w:start w:val="1"/>
      <w:numFmt w:val="bullet"/>
      <w:lvlText w:val=""/>
      <w:lvlJc w:val="left"/>
      <w:pPr>
        <w:ind w:left="2160" w:hanging="360"/>
      </w:pPr>
      <w:rPr>
        <w:rFonts w:ascii="Wingdings" w:hAnsi="Wingdings" w:hint="default"/>
      </w:rPr>
    </w:lvl>
    <w:lvl w:ilvl="3" w:tplc="0C406090">
      <w:start w:val="1"/>
      <w:numFmt w:val="bullet"/>
      <w:lvlText w:val=""/>
      <w:lvlJc w:val="left"/>
      <w:pPr>
        <w:ind w:left="2880" w:hanging="360"/>
      </w:pPr>
      <w:rPr>
        <w:rFonts w:ascii="Symbol" w:hAnsi="Symbol" w:hint="default"/>
      </w:rPr>
    </w:lvl>
    <w:lvl w:ilvl="4" w:tplc="F3F83510">
      <w:start w:val="1"/>
      <w:numFmt w:val="bullet"/>
      <w:lvlText w:val="o"/>
      <w:lvlJc w:val="left"/>
      <w:pPr>
        <w:ind w:left="3600" w:hanging="360"/>
      </w:pPr>
      <w:rPr>
        <w:rFonts w:ascii="Courier New" w:hAnsi="Courier New" w:hint="default"/>
      </w:rPr>
    </w:lvl>
    <w:lvl w:ilvl="5" w:tplc="F3F8F390">
      <w:start w:val="1"/>
      <w:numFmt w:val="bullet"/>
      <w:lvlText w:val=""/>
      <w:lvlJc w:val="left"/>
      <w:pPr>
        <w:ind w:left="4320" w:hanging="360"/>
      </w:pPr>
      <w:rPr>
        <w:rFonts w:ascii="Wingdings" w:hAnsi="Wingdings" w:hint="default"/>
      </w:rPr>
    </w:lvl>
    <w:lvl w:ilvl="6" w:tplc="6FFA604E">
      <w:start w:val="1"/>
      <w:numFmt w:val="bullet"/>
      <w:lvlText w:val=""/>
      <w:lvlJc w:val="left"/>
      <w:pPr>
        <w:ind w:left="5040" w:hanging="360"/>
      </w:pPr>
      <w:rPr>
        <w:rFonts w:ascii="Symbol" w:hAnsi="Symbol" w:hint="default"/>
      </w:rPr>
    </w:lvl>
    <w:lvl w:ilvl="7" w:tplc="EC9CAAFC">
      <w:start w:val="1"/>
      <w:numFmt w:val="bullet"/>
      <w:lvlText w:val="o"/>
      <w:lvlJc w:val="left"/>
      <w:pPr>
        <w:ind w:left="5760" w:hanging="360"/>
      </w:pPr>
      <w:rPr>
        <w:rFonts w:ascii="Courier New" w:hAnsi="Courier New" w:hint="default"/>
      </w:rPr>
    </w:lvl>
    <w:lvl w:ilvl="8" w:tplc="0B76FF2A">
      <w:start w:val="1"/>
      <w:numFmt w:val="bullet"/>
      <w:lvlText w:val=""/>
      <w:lvlJc w:val="left"/>
      <w:pPr>
        <w:ind w:left="6480" w:hanging="360"/>
      </w:pPr>
      <w:rPr>
        <w:rFonts w:ascii="Wingdings" w:hAnsi="Wingdings" w:hint="default"/>
      </w:rPr>
    </w:lvl>
  </w:abstractNum>
  <w:abstractNum w:abstractNumId="12" w15:restartNumberingAfterBreak="0">
    <w:nsid w:val="4158400D"/>
    <w:multiLevelType w:val="hybridMultilevel"/>
    <w:tmpl w:val="0E88EC62"/>
    <w:lvl w:ilvl="0" w:tplc="EF36B512">
      <w:start w:val="1"/>
      <w:numFmt w:val="bullet"/>
      <w:lvlText w:val=""/>
      <w:lvlJc w:val="left"/>
      <w:pPr>
        <w:ind w:left="720" w:hanging="360"/>
      </w:pPr>
      <w:rPr>
        <w:rFonts w:ascii="Symbol" w:hAnsi="Symbol" w:hint="default"/>
      </w:rPr>
    </w:lvl>
    <w:lvl w:ilvl="1" w:tplc="2A3ED942">
      <w:start w:val="1"/>
      <w:numFmt w:val="bullet"/>
      <w:lvlText w:val="o"/>
      <w:lvlJc w:val="left"/>
      <w:pPr>
        <w:ind w:left="1440" w:hanging="360"/>
      </w:pPr>
      <w:rPr>
        <w:rFonts w:ascii="Courier New" w:hAnsi="Courier New" w:hint="default"/>
      </w:rPr>
    </w:lvl>
    <w:lvl w:ilvl="2" w:tplc="61C05B5C">
      <w:start w:val="1"/>
      <w:numFmt w:val="bullet"/>
      <w:lvlText w:val=""/>
      <w:lvlJc w:val="left"/>
      <w:pPr>
        <w:ind w:left="2160" w:hanging="360"/>
      </w:pPr>
      <w:rPr>
        <w:rFonts w:ascii="Wingdings" w:hAnsi="Wingdings" w:hint="default"/>
      </w:rPr>
    </w:lvl>
    <w:lvl w:ilvl="3" w:tplc="2F54FE92">
      <w:start w:val="1"/>
      <w:numFmt w:val="bullet"/>
      <w:lvlText w:val=""/>
      <w:lvlJc w:val="left"/>
      <w:pPr>
        <w:ind w:left="2880" w:hanging="360"/>
      </w:pPr>
      <w:rPr>
        <w:rFonts w:ascii="Symbol" w:hAnsi="Symbol" w:hint="default"/>
      </w:rPr>
    </w:lvl>
    <w:lvl w:ilvl="4" w:tplc="C3B8E5E4">
      <w:start w:val="1"/>
      <w:numFmt w:val="bullet"/>
      <w:lvlText w:val="o"/>
      <w:lvlJc w:val="left"/>
      <w:pPr>
        <w:ind w:left="3600" w:hanging="360"/>
      </w:pPr>
      <w:rPr>
        <w:rFonts w:ascii="Courier New" w:hAnsi="Courier New" w:hint="default"/>
      </w:rPr>
    </w:lvl>
    <w:lvl w:ilvl="5" w:tplc="F9365892">
      <w:start w:val="1"/>
      <w:numFmt w:val="bullet"/>
      <w:lvlText w:val=""/>
      <w:lvlJc w:val="left"/>
      <w:pPr>
        <w:ind w:left="4320" w:hanging="360"/>
      </w:pPr>
      <w:rPr>
        <w:rFonts w:ascii="Wingdings" w:hAnsi="Wingdings" w:hint="default"/>
      </w:rPr>
    </w:lvl>
    <w:lvl w:ilvl="6" w:tplc="458EE0FC">
      <w:start w:val="1"/>
      <w:numFmt w:val="bullet"/>
      <w:lvlText w:val=""/>
      <w:lvlJc w:val="left"/>
      <w:pPr>
        <w:ind w:left="5040" w:hanging="360"/>
      </w:pPr>
      <w:rPr>
        <w:rFonts w:ascii="Symbol" w:hAnsi="Symbol" w:hint="default"/>
      </w:rPr>
    </w:lvl>
    <w:lvl w:ilvl="7" w:tplc="DC60DE24">
      <w:start w:val="1"/>
      <w:numFmt w:val="bullet"/>
      <w:lvlText w:val="o"/>
      <w:lvlJc w:val="left"/>
      <w:pPr>
        <w:ind w:left="5760" w:hanging="360"/>
      </w:pPr>
      <w:rPr>
        <w:rFonts w:ascii="Courier New" w:hAnsi="Courier New" w:hint="default"/>
      </w:rPr>
    </w:lvl>
    <w:lvl w:ilvl="8" w:tplc="C98CA9DE">
      <w:start w:val="1"/>
      <w:numFmt w:val="bullet"/>
      <w:lvlText w:val=""/>
      <w:lvlJc w:val="left"/>
      <w:pPr>
        <w:ind w:left="6480" w:hanging="360"/>
      </w:pPr>
      <w:rPr>
        <w:rFonts w:ascii="Wingdings" w:hAnsi="Wingdings" w:hint="default"/>
      </w:rPr>
    </w:lvl>
  </w:abstractNum>
  <w:abstractNum w:abstractNumId="13" w15:restartNumberingAfterBreak="0">
    <w:nsid w:val="43092A86"/>
    <w:multiLevelType w:val="hybridMultilevel"/>
    <w:tmpl w:val="3EA0E33A"/>
    <w:lvl w:ilvl="0" w:tplc="D69801F6">
      <w:start w:val="1"/>
      <w:numFmt w:val="bullet"/>
      <w:lvlText w:val=""/>
      <w:lvlJc w:val="left"/>
      <w:pPr>
        <w:ind w:left="720" w:hanging="360"/>
      </w:pPr>
      <w:rPr>
        <w:rFonts w:ascii="Symbol" w:hAnsi="Symbol" w:hint="default"/>
      </w:rPr>
    </w:lvl>
    <w:lvl w:ilvl="1" w:tplc="B60A2800">
      <w:start w:val="1"/>
      <w:numFmt w:val="bullet"/>
      <w:lvlText w:val="o"/>
      <w:lvlJc w:val="left"/>
      <w:pPr>
        <w:ind w:left="1440" w:hanging="360"/>
      </w:pPr>
      <w:rPr>
        <w:rFonts w:ascii="Courier New" w:hAnsi="Courier New" w:hint="default"/>
      </w:rPr>
    </w:lvl>
    <w:lvl w:ilvl="2" w:tplc="F6049BF8">
      <w:start w:val="1"/>
      <w:numFmt w:val="bullet"/>
      <w:lvlText w:val=""/>
      <w:lvlJc w:val="left"/>
      <w:pPr>
        <w:ind w:left="2160" w:hanging="360"/>
      </w:pPr>
      <w:rPr>
        <w:rFonts w:ascii="Wingdings" w:hAnsi="Wingdings" w:hint="default"/>
      </w:rPr>
    </w:lvl>
    <w:lvl w:ilvl="3" w:tplc="ECFC274A">
      <w:start w:val="1"/>
      <w:numFmt w:val="bullet"/>
      <w:lvlText w:val=""/>
      <w:lvlJc w:val="left"/>
      <w:pPr>
        <w:ind w:left="2880" w:hanging="360"/>
      </w:pPr>
      <w:rPr>
        <w:rFonts w:ascii="Symbol" w:hAnsi="Symbol" w:hint="default"/>
      </w:rPr>
    </w:lvl>
    <w:lvl w:ilvl="4" w:tplc="97647CEE">
      <w:start w:val="1"/>
      <w:numFmt w:val="bullet"/>
      <w:lvlText w:val="o"/>
      <w:lvlJc w:val="left"/>
      <w:pPr>
        <w:ind w:left="3600" w:hanging="360"/>
      </w:pPr>
      <w:rPr>
        <w:rFonts w:ascii="Courier New" w:hAnsi="Courier New" w:hint="default"/>
      </w:rPr>
    </w:lvl>
    <w:lvl w:ilvl="5" w:tplc="1ADA9000">
      <w:start w:val="1"/>
      <w:numFmt w:val="bullet"/>
      <w:lvlText w:val=""/>
      <w:lvlJc w:val="left"/>
      <w:pPr>
        <w:ind w:left="4320" w:hanging="360"/>
      </w:pPr>
      <w:rPr>
        <w:rFonts w:ascii="Wingdings" w:hAnsi="Wingdings" w:hint="default"/>
      </w:rPr>
    </w:lvl>
    <w:lvl w:ilvl="6" w:tplc="F740F844">
      <w:start w:val="1"/>
      <w:numFmt w:val="bullet"/>
      <w:lvlText w:val=""/>
      <w:lvlJc w:val="left"/>
      <w:pPr>
        <w:ind w:left="5040" w:hanging="360"/>
      </w:pPr>
      <w:rPr>
        <w:rFonts w:ascii="Symbol" w:hAnsi="Symbol" w:hint="default"/>
      </w:rPr>
    </w:lvl>
    <w:lvl w:ilvl="7" w:tplc="CBE80F62">
      <w:start w:val="1"/>
      <w:numFmt w:val="bullet"/>
      <w:lvlText w:val="o"/>
      <w:lvlJc w:val="left"/>
      <w:pPr>
        <w:ind w:left="5760" w:hanging="360"/>
      </w:pPr>
      <w:rPr>
        <w:rFonts w:ascii="Courier New" w:hAnsi="Courier New" w:hint="default"/>
      </w:rPr>
    </w:lvl>
    <w:lvl w:ilvl="8" w:tplc="986E30DC">
      <w:start w:val="1"/>
      <w:numFmt w:val="bullet"/>
      <w:lvlText w:val=""/>
      <w:lvlJc w:val="left"/>
      <w:pPr>
        <w:ind w:left="6480" w:hanging="360"/>
      </w:pPr>
      <w:rPr>
        <w:rFonts w:ascii="Wingdings" w:hAnsi="Wingdings" w:hint="default"/>
      </w:rPr>
    </w:lvl>
  </w:abstractNum>
  <w:abstractNum w:abstractNumId="14" w15:restartNumberingAfterBreak="0">
    <w:nsid w:val="4B5B1A54"/>
    <w:multiLevelType w:val="hybridMultilevel"/>
    <w:tmpl w:val="B86EC412"/>
    <w:lvl w:ilvl="0" w:tplc="63A04DA4">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CEC4E27"/>
    <w:multiLevelType w:val="multilevel"/>
    <w:tmpl w:val="83248E80"/>
    <w:lvl w:ilvl="0">
      <w:start w:val="1"/>
      <w:numFmt w:val="bullet"/>
      <w:pStyle w:val="Llistapunts1Darreralnia"/>
      <w:lvlText w:val="o"/>
      <w:lvlJc w:val="left"/>
      <w:pPr>
        <w:ind w:left="928" w:hanging="360"/>
      </w:pPr>
      <w:rPr>
        <w:rFonts w:ascii="Courier New" w:hAnsi="Courier New" w:cs="Courier New" w:hint="default"/>
        <w:b w:val="0"/>
        <w:bCs/>
        <w:i w:val="0"/>
        <w:color w:val="ED7D31" w:themeColor="accent2"/>
        <w:sz w:val="24"/>
      </w:rPr>
    </w:lvl>
    <w:lvl w:ilvl="1">
      <w:start w:val="1"/>
      <w:numFmt w:val="bullet"/>
      <w:lvlText w:val="o"/>
      <w:lvlJc w:val="left"/>
      <w:pPr>
        <w:ind w:left="1648" w:hanging="360"/>
      </w:pPr>
      <w:rPr>
        <w:rFonts w:ascii="Courier New" w:hAnsi="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4EA139C7"/>
    <w:multiLevelType w:val="hybridMultilevel"/>
    <w:tmpl w:val="A37A324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7" w15:restartNumberingAfterBreak="0">
    <w:nsid w:val="502C0116"/>
    <w:multiLevelType w:val="hybridMultilevel"/>
    <w:tmpl w:val="B0A4F4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3CF6F46"/>
    <w:multiLevelType w:val="hybridMultilevel"/>
    <w:tmpl w:val="09D47938"/>
    <w:lvl w:ilvl="0" w:tplc="EA6CE542">
      <w:start w:val="1"/>
      <w:numFmt w:val="bullet"/>
      <w:lvlText w:val=""/>
      <w:lvlJc w:val="left"/>
      <w:pPr>
        <w:ind w:left="720" w:hanging="360"/>
      </w:pPr>
      <w:rPr>
        <w:rFonts w:ascii="Symbol" w:hAnsi="Symbol" w:hint="default"/>
      </w:rPr>
    </w:lvl>
    <w:lvl w:ilvl="1" w:tplc="9CC00C3E">
      <w:start w:val="1"/>
      <w:numFmt w:val="bullet"/>
      <w:lvlText w:val="o"/>
      <w:lvlJc w:val="left"/>
      <w:pPr>
        <w:ind w:left="1440" w:hanging="360"/>
      </w:pPr>
      <w:rPr>
        <w:rFonts w:ascii="Courier New" w:hAnsi="Courier New" w:hint="default"/>
      </w:rPr>
    </w:lvl>
    <w:lvl w:ilvl="2" w:tplc="19FAF712">
      <w:start w:val="1"/>
      <w:numFmt w:val="bullet"/>
      <w:lvlText w:val=""/>
      <w:lvlJc w:val="left"/>
      <w:pPr>
        <w:ind w:left="2160" w:hanging="360"/>
      </w:pPr>
      <w:rPr>
        <w:rFonts w:ascii="Wingdings" w:hAnsi="Wingdings" w:hint="default"/>
      </w:rPr>
    </w:lvl>
    <w:lvl w:ilvl="3" w:tplc="07720A08">
      <w:start w:val="1"/>
      <w:numFmt w:val="bullet"/>
      <w:lvlText w:val=""/>
      <w:lvlJc w:val="left"/>
      <w:pPr>
        <w:ind w:left="2880" w:hanging="360"/>
      </w:pPr>
      <w:rPr>
        <w:rFonts w:ascii="Symbol" w:hAnsi="Symbol" w:hint="default"/>
      </w:rPr>
    </w:lvl>
    <w:lvl w:ilvl="4" w:tplc="43AEF698">
      <w:start w:val="1"/>
      <w:numFmt w:val="bullet"/>
      <w:lvlText w:val="o"/>
      <w:lvlJc w:val="left"/>
      <w:pPr>
        <w:ind w:left="3600" w:hanging="360"/>
      </w:pPr>
      <w:rPr>
        <w:rFonts w:ascii="Courier New" w:hAnsi="Courier New" w:hint="default"/>
      </w:rPr>
    </w:lvl>
    <w:lvl w:ilvl="5" w:tplc="EF227952">
      <w:start w:val="1"/>
      <w:numFmt w:val="bullet"/>
      <w:lvlText w:val=""/>
      <w:lvlJc w:val="left"/>
      <w:pPr>
        <w:ind w:left="4320" w:hanging="360"/>
      </w:pPr>
      <w:rPr>
        <w:rFonts w:ascii="Wingdings" w:hAnsi="Wingdings" w:hint="default"/>
      </w:rPr>
    </w:lvl>
    <w:lvl w:ilvl="6" w:tplc="CF64F01E">
      <w:start w:val="1"/>
      <w:numFmt w:val="bullet"/>
      <w:lvlText w:val=""/>
      <w:lvlJc w:val="left"/>
      <w:pPr>
        <w:ind w:left="5040" w:hanging="360"/>
      </w:pPr>
      <w:rPr>
        <w:rFonts w:ascii="Symbol" w:hAnsi="Symbol" w:hint="default"/>
      </w:rPr>
    </w:lvl>
    <w:lvl w:ilvl="7" w:tplc="5CEC3354">
      <w:start w:val="1"/>
      <w:numFmt w:val="bullet"/>
      <w:lvlText w:val="o"/>
      <w:lvlJc w:val="left"/>
      <w:pPr>
        <w:ind w:left="5760" w:hanging="360"/>
      </w:pPr>
      <w:rPr>
        <w:rFonts w:ascii="Courier New" w:hAnsi="Courier New" w:hint="default"/>
      </w:rPr>
    </w:lvl>
    <w:lvl w:ilvl="8" w:tplc="ADE22A5A">
      <w:start w:val="1"/>
      <w:numFmt w:val="bullet"/>
      <w:lvlText w:val=""/>
      <w:lvlJc w:val="left"/>
      <w:pPr>
        <w:ind w:left="6480" w:hanging="360"/>
      </w:pPr>
      <w:rPr>
        <w:rFonts w:ascii="Wingdings" w:hAnsi="Wingdings" w:hint="default"/>
      </w:rPr>
    </w:lvl>
  </w:abstractNum>
  <w:abstractNum w:abstractNumId="19" w15:restartNumberingAfterBreak="0">
    <w:nsid w:val="562A9D66"/>
    <w:multiLevelType w:val="hybridMultilevel"/>
    <w:tmpl w:val="A394CF0C"/>
    <w:lvl w:ilvl="0" w:tplc="7B6E99EA">
      <w:start w:val="1"/>
      <w:numFmt w:val="bullet"/>
      <w:lvlText w:val=""/>
      <w:lvlJc w:val="left"/>
      <w:pPr>
        <w:ind w:left="720" w:hanging="360"/>
      </w:pPr>
      <w:rPr>
        <w:rFonts w:ascii="Symbol" w:hAnsi="Symbol" w:hint="default"/>
      </w:rPr>
    </w:lvl>
    <w:lvl w:ilvl="1" w:tplc="2E2E232E">
      <w:start w:val="1"/>
      <w:numFmt w:val="bullet"/>
      <w:lvlText w:val="o"/>
      <w:lvlJc w:val="left"/>
      <w:pPr>
        <w:ind w:left="1440" w:hanging="360"/>
      </w:pPr>
      <w:rPr>
        <w:rFonts w:ascii="Courier New" w:hAnsi="Courier New" w:hint="default"/>
      </w:rPr>
    </w:lvl>
    <w:lvl w:ilvl="2" w:tplc="05EA3694">
      <w:start w:val="1"/>
      <w:numFmt w:val="bullet"/>
      <w:lvlText w:val=""/>
      <w:lvlJc w:val="left"/>
      <w:pPr>
        <w:ind w:left="2160" w:hanging="360"/>
      </w:pPr>
      <w:rPr>
        <w:rFonts w:ascii="Wingdings" w:hAnsi="Wingdings" w:hint="default"/>
      </w:rPr>
    </w:lvl>
    <w:lvl w:ilvl="3" w:tplc="295AA882">
      <w:start w:val="1"/>
      <w:numFmt w:val="bullet"/>
      <w:lvlText w:val=""/>
      <w:lvlJc w:val="left"/>
      <w:pPr>
        <w:ind w:left="2880" w:hanging="360"/>
      </w:pPr>
      <w:rPr>
        <w:rFonts w:ascii="Symbol" w:hAnsi="Symbol" w:hint="default"/>
      </w:rPr>
    </w:lvl>
    <w:lvl w:ilvl="4" w:tplc="11462BC0">
      <w:start w:val="1"/>
      <w:numFmt w:val="bullet"/>
      <w:lvlText w:val="o"/>
      <w:lvlJc w:val="left"/>
      <w:pPr>
        <w:ind w:left="3600" w:hanging="360"/>
      </w:pPr>
      <w:rPr>
        <w:rFonts w:ascii="Courier New" w:hAnsi="Courier New" w:hint="default"/>
      </w:rPr>
    </w:lvl>
    <w:lvl w:ilvl="5" w:tplc="AF4A416C">
      <w:start w:val="1"/>
      <w:numFmt w:val="bullet"/>
      <w:lvlText w:val=""/>
      <w:lvlJc w:val="left"/>
      <w:pPr>
        <w:ind w:left="4320" w:hanging="360"/>
      </w:pPr>
      <w:rPr>
        <w:rFonts w:ascii="Wingdings" w:hAnsi="Wingdings" w:hint="default"/>
      </w:rPr>
    </w:lvl>
    <w:lvl w:ilvl="6" w:tplc="42F28AB4">
      <w:start w:val="1"/>
      <w:numFmt w:val="bullet"/>
      <w:lvlText w:val=""/>
      <w:lvlJc w:val="left"/>
      <w:pPr>
        <w:ind w:left="5040" w:hanging="360"/>
      </w:pPr>
      <w:rPr>
        <w:rFonts w:ascii="Symbol" w:hAnsi="Symbol" w:hint="default"/>
      </w:rPr>
    </w:lvl>
    <w:lvl w:ilvl="7" w:tplc="C444F9F8">
      <w:start w:val="1"/>
      <w:numFmt w:val="bullet"/>
      <w:lvlText w:val="o"/>
      <w:lvlJc w:val="left"/>
      <w:pPr>
        <w:ind w:left="5760" w:hanging="360"/>
      </w:pPr>
      <w:rPr>
        <w:rFonts w:ascii="Courier New" w:hAnsi="Courier New" w:hint="default"/>
      </w:rPr>
    </w:lvl>
    <w:lvl w:ilvl="8" w:tplc="21E6E722">
      <w:start w:val="1"/>
      <w:numFmt w:val="bullet"/>
      <w:lvlText w:val=""/>
      <w:lvlJc w:val="left"/>
      <w:pPr>
        <w:ind w:left="6480" w:hanging="360"/>
      </w:pPr>
      <w:rPr>
        <w:rFonts w:ascii="Wingdings" w:hAnsi="Wingdings" w:hint="default"/>
      </w:rPr>
    </w:lvl>
  </w:abstractNum>
  <w:abstractNum w:abstractNumId="20" w15:restartNumberingAfterBreak="0">
    <w:nsid w:val="5ECDD81C"/>
    <w:multiLevelType w:val="hybridMultilevel"/>
    <w:tmpl w:val="87B6F5AC"/>
    <w:lvl w:ilvl="0" w:tplc="7EA4BCC6">
      <w:start w:val="1"/>
      <w:numFmt w:val="bullet"/>
      <w:lvlText w:val=""/>
      <w:lvlJc w:val="left"/>
      <w:pPr>
        <w:ind w:left="720" w:hanging="360"/>
      </w:pPr>
      <w:rPr>
        <w:rFonts w:ascii="Symbol" w:hAnsi="Symbol" w:hint="default"/>
      </w:rPr>
    </w:lvl>
    <w:lvl w:ilvl="1" w:tplc="A1AA7EAE">
      <w:start w:val="1"/>
      <w:numFmt w:val="bullet"/>
      <w:lvlText w:val="o"/>
      <w:lvlJc w:val="left"/>
      <w:pPr>
        <w:ind w:left="1440" w:hanging="360"/>
      </w:pPr>
      <w:rPr>
        <w:rFonts w:ascii="Courier New" w:hAnsi="Courier New" w:hint="default"/>
      </w:rPr>
    </w:lvl>
    <w:lvl w:ilvl="2" w:tplc="7DD26640">
      <w:start w:val="1"/>
      <w:numFmt w:val="bullet"/>
      <w:lvlText w:val=""/>
      <w:lvlJc w:val="left"/>
      <w:pPr>
        <w:ind w:left="2160" w:hanging="360"/>
      </w:pPr>
      <w:rPr>
        <w:rFonts w:ascii="Wingdings" w:hAnsi="Wingdings" w:hint="default"/>
      </w:rPr>
    </w:lvl>
    <w:lvl w:ilvl="3" w:tplc="027CAE40">
      <w:start w:val="1"/>
      <w:numFmt w:val="bullet"/>
      <w:lvlText w:val=""/>
      <w:lvlJc w:val="left"/>
      <w:pPr>
        <w:ind w:left="2880" w:hanging="360"/>
      </w:pPr>
      <w:rPr>
        <w:rFonts w:ascii="Symbol" w:hAnsi="Symbol" w:hint="default"/>
      </w:rPr>
    </w:lvl>
    <w:lvl w:ilvl="4" w:tplc="40EE482A">
      <w:start w:val="1"/>
      <w:numFmt w:val="bullet"/>
      <w:lvlText w:val="o"/>
      <w:lvlJc w:val="left"/>
      <w:pPr>
        <w:ind w:left="3600" w:hanging="360"/>
      </w:pPr>
      <w:rPr>
        <w:rFonts w:ascii="Courier New" w:hAnsi="Courier New" w:hint="default"/>
      </w:rPr>
    </w:lvl>
    <w:lvl w:ilvl="5" w:tplc="EA4E582E">
      <w:start w:val="1"/>
      <w:numFmt w:val="bullet"/>
      <w:lvlText w:val=""/>
      <w:lvlJc w:val="left"/>
      <w:pPr>
        <w:ind w:left="4320" w:hanging="360"/>
      </w:pPr>
      <w:rPr>
        <w:rFonts w:ascii="Wingdings" w:hAnsi="Wingdings" w:hint="default"/>
      </w:rPr>
    </w:lvl>
    <w:lvl w:ilvl="6" w:tplc="318088D4">
      <w:start w:val="1"/>
      <w:numFmt w:val="bullet"/>
      <w:lvlText w:val=""/>
      <w:lvlJc w:val="left"/>
      <w:pPr>
        <w:ind w:left="5040" w:hanging="360"/>
      </w:pPr>
      <w:rPr>
        <w:rFonts w:ascii="Symbol" w:hAnsi="Symbol" w:hint="default"/>
      </w:rPr>
    </w:lvl>
    <w:lvl w:ilvl="7" w:tplc="AB4E48A8">
      <w:start w:val="1"/>
      <w:numFmt w:val="bullet"/>
      <w:lvlText w:val="o"/>
      <w:lvlJc w:val="left"/>
      <w:pPr>
        <w:ind w:left="5760" w:hanging="360"/>
      </w:pPr>
      <w:rPr>
        <w:rFonts w:ascii="Courier New" w:hAnsi="Courier New" w:hint="default"/>
      </w:rPr>
    </w:lvl>
    <w:lvl w:ilvl="8" w:tplc="BD4CADC6">
      <w:start w:val="1"/>
      <w:numFmt w:val="bullet"/>
      <w:lvlText w:val=""/>
      <w:lvlJc w:val="left"/>
      <w:pPr>
        <w:ind w:left="6480" w:hanging="360"/>
      </w:pPr>
      <w:rPr>
        <w:rFonts w:ascii="Wingdings" w:hAnsi="Wingdings" w:hint="default"/>
      </w:rPr>
    </w:lvl>
  </w:abstractNum>
  <w:abstractNum w:abstractNumId="21" w15:restartNumberingAfterBreak="0">
    <w:nsid w:val="685F5349"/>
    <w:multiLevelType w:val="hybridMultilevel"/>
    <w:tmpl w:val="2F1CC3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A6502E2"/>
    <w:multiLevelType w:val="hybridMultilevel"/>
    <w:tmpl w:val="8562A6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FEB48C8"/>
    <w:multiLevelType w:val="hybridMultilevel"/>
    <w:tmpl w:val="D36089A0"/>
    <w:lvl w:ilvl="0" w:tplc="04030001">
      <w:start w:val="1"/>
      <w:numFmt w:val="bullet"/>
      <w:lvlText w:val=""/>
      <w:lvlJc w:val="left"/>
      <w:pPr>
        <w:ind w:left="2136" w:hanging="360"/>
      </w:pPr>
      <w:rPr>
        <w:rFonts w:ascii="Symbol" w:hAnsi="Symbo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24" w15:restartNumberingAfterBreak="0">
    <w:nsid w:val="737C1F71"/>
    <w:multiLevelType w:val="hybridMultilevel"/>
    <w:tmpl w:val="DDD61EE4"/>
    <w:lvl w:ilvl="0" w:tplc="04030001">
      <w:start w:val="1"/>
      <w:numFmt w:val="bullet"/>
      <w:lvlText w:val=""/>
      <w:lvlJc w:val="left"/>
      <w:pPr>
        <w:ind w:left="2136" w:hanging="360"/>
      </w:pPr>
      <w:rPr>
        <w:rFonts w:ascii="Symbol" w:hAnsi="Symbo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25" w15:restartNumberingAfterBreak="0">
    <w:nsid w:val="77943601"/>
    <w:multiLevelType w:val="hybridMultilevel"/>
    <w:tmpl w:val="312A5F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6"/>
  </w:num>
  <w:num w:numId="5">
    <w:abstractNumId w:val="5"/>
  </w:num>
  <w:num w:numId="6">
    <w:abstractNumId w:val="13"/>
  </w:num>
  <w:num w:numId="7">
    <w:abstractNumId w:val="4"/>
  </w:num>
  <w:num w:numId="8">
    <w:abstractNumId w:val="21"/>
  </w:num>
  <w:num w:numId="9">
    <w:abstractNumId w:val="17"/>
  </w:num>
  <w:num w:numId="10">
    <w:abstractNumId w:val="25"/>
  </w:num>
  <w:num w:numId="11">
    <w:abstractNumId w:val="7"/>
  </w:num>
  <w:num w:numId="12">
    <w:abstractNumId w:val="0"/>
  </w:num>
  <w:num w:numId="13">
    <w:abstractNumId w:val="11"/>
  </w:num>
  <w:num w:numId="14">
    <w:abstractNumId w:val="16"/>
  </w:num>
  <w:num w:numId="15">
    <w:abstractNumId w:val="22"/>
  </w:num>
  <w:num w:numId="16">
    <w:abstractNumId w:val="3"/>
  </w:num>
  <w:num w:numId="17">
    <w:abstractNumId w:val="23"/>
  </w:num>
  <w:num w:numId="18">
    <w:abstractNumId w:val="24"/>
  </w:num>
  <w:num w:numId="19">
    <w:abstractNumId w:val="19"/>
  </w:num>
  <w:num w:numId="20">
    <w:abstractNumId w:val="18"/>
  </w:num>
  <w:num w:numId="21">
    <w:abstractNumId w:val="9"/>
  </w:num>
  <w:num w:numId="22">
    <w:abstractNumId w:val="10"/>
  </w:num>
  <w:num w:numId="23">
    <w:abstractNumId w:val="2"/>
  </w:num>
  <w:num w:numId="24">
    <w:abstractNumId w:val="20"/>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_tradnl" w:vendorID="64" w:dllVersion="131078" w:nlCheck="1" w:checkStyle="0"/>
  <w:proofState w:spelling="clean" w:grammar="clean"/>
  <w:attachedTemplate r:id="rId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7"/>
    <w:rsid w:val="00000338"/>
    <w:rsid w:val="000126BE"/>
    <w:rsid w:val="00085B6B"/>
    <w:rsid w:val="000E00F0"/>
    <w:rsid w:val="00103ED4"/>
    <w:rsid w:val="00127C83"/>
    <w:rsid w:val="0013560D"/>
    <w:rsid w:val="0016248E"/>
    <w:rsid w:val="00183632"/>
    <w:rsid w:val="0019428B"/>
    <w:rsid w:val="001A1E43"/>
    <w:rsid w:val="001A2A39"/>
    <w:rsid w:val="001B23B4"/>
    <w:rsid w:val="001F2D68"/>
    <w:rsid w:val="00242B45"/>
    <w:rsid w:val="00245E39"/>
    <w:rsid w:val="00257B23"/>
    <w:rsid w:val="00266780"/>
    <w:rsid w:val="00294F13"/>
    <w:rsid w:val="002A3238"/>
    <w:rsid w:val="002E32A7"/>
    <w:rsid w:val="002E40D6"/>
    <w:rsid w:val="003067FE"/>
    <w:rsid w:val="00320B9F"/>
    <w:rsid w:val="0032222C"/>
    <w:rsid w:val="0033676E"/>
    <w:rsid w:val="0037303B"/>
    <w:rsid w:val="00386460"/>
    <w:rsid w:val="003C2FD8"/>
    <w:rsid w:val="003C39BA"/>
    <w:rsid w:val="003F26E3"/>
    <w:rsid w:val="004029BB"/>
    <w:rsid w:val="00402FA0"/>
    <w:rsid w:val="0041664A"/>
    <w:rsid w:val="00421556"/>
    <w:rsid w:val="004261CE"/>
    <w:rsid w:val="00426CA7"/>
    <w:rsid w:val="00431039"/>
    <w:rsid w:val="00491869"/>
    <w:rsid w:val="004A7D1D"/>
    <w:rsid w:val="004C0587"/>
    <w:rsid w:val="004D0A56"/>
    <w:rsid w:val="004F0509"/>
    <w:rsid w:val="004F6BF3"/>
    <w:rsid w:val="00534DB4"/>
    <w:rsid w:val="0057075B"/>
    <w:rsid w:val="00571CC1"/>
    <w:rsid w:val="0057753C"/>
    <w:rsid w:val="00582A2C"/>
    <w:rsid w:val="005E5E27"/>
    <w:rsid w:val="006247D8"/>
    <w:rsid w:val="006431F3"/>
    <w:rsid w:val="00653BA8"/>
    <w:rsid w:val="0065445D"/>
    <w:rsid w:val="00662FED"/>
    <w:rsid w:val="006800B7"/>
    <w:rsid w:val="006814EE"/>
    <w:rsid w:val="006834EC"/>
    <w:rsid w:val="0068656E"/>
    <w:rsid w:val="00692CDA"/>
    <w:rsid w:val="00692D0F"/>
    <w:rsid w:val="006965BC"/>
    <w:rsid w:val="006B0EC4"/>
    <w:rsid w:val="006B150D"/>
    <w:rsid w:val="006B6FE9"/>
    <w:rsid w:val="006B75FA"/>
    <w:rsid w:val="006D1D4C"/>
    <w:rsid w:val="006D2DA3"/>
    <w:rsid w:val="006E5E7E"/>
    <w:rsid w:val="006E7EC0"/>
    <w:rsid w:val="006F445D"/>
    <w:rsid w:val="00714A61"/>
    <w:rsid w:val="0073362B"/>
    <w:rsid w:val="00736B3E"/>
    <w:rsid w:val="0079175C"/>
    <w:rsid w:val="007D334F"/>
    <w:rsid w:val="007D5DC8"/>
    <w:rsid w:val="0080674C"/>
    <w:rsid w:val="008266EC"/>
    <w:rsid w:val="00864803"/>
    <w:rsid w:val="008A22B5"/>
    <w:rsid w:val="008C6D81"/>
    <w:rsid w:val="008E7297"/>
    <w:rsid w:val="008F3926"/>
    <w:rsid w:val="00932D56"/>
    <w:rsid w:val="00942967"/>
    <w:rsid w:val="00953391"/>
    <w:rsid w:val="00977020"/>
    <w:rsid w:val="0098370A"/>
    <w:rsid w:val="009E694E"/>
    <w:rsid w:val="009F7856"/>
    <w:rsid w:val="00A0623E"/>
    <w:rsid w:val="00A22E1B"/>
    <w:rsid w:val="00A31439"/>
    <w:rsid w:val="00A3503B"/>
    <w:rsid w:val="00A37C78"/>
    <w:rsid w:val="00AB13F5"/>
    <w:rsid w:val="00AC0863"/>
    <w:rsid w:val="00AC2F72"/>
    <w:rsid w:val="00AE2C4D"/>
    <w:rsid w:val="00AF3382"/>
    <w:rsid w:val="00B26546"/>
    <w:rsid w:val="00B634C1"/>
    <w:rsid w:val="00B71D13"/>
    <w:rsid w:val="00B73972"/>
    <w:rsid w:val="00B7602C"/>
    <w:rsid w:val="00B77104"/>
    <w:rsid w:val="00BA0BD6"/>
    <w:rsid w:val="00BA23C3"/>
    <w:rsid w:val="00BB75CB"/>
    <w:rsid w:val="00BD2689"/>
    <w:rsid w:val="00BE0583"/>
    <w:rsid w:val="00C777E9"/>
    <w:rsid w:val="00C8676D"/>
    <w:rsid w:val="00C96C12"/>
    <w:rsid w:val="00CB1ED5"/>
    <w:rsid w:val="00CC0362"/>
    <w:rsid w:val="00CC490C"/>
    <w:rsid w:val="00CC5EA7"/>
    <w:rsid w:val="00CD6E33"/>
    <w:rsid w:val="00CE1A4A"/>
    <w:rsid w:val="00CF65BB"/>
    <w:rsid w:val="00D1115C"/>
    <w:rsid w:val="00D31B8E"/>
    <w:rsid w:val="00D43525"/>
    <w:rsid w:val="00D55F45"/>
    <w:rsid w:val="00D57ED2"/>
    <w:rsid w:val="00D964DF"/>
    <w:rsid w:val="00DB7C14"/>
    <w:rsid w:val="00DF5061"/>
    <w:rsid w:val="00E05199"/>
    <w:rsid w:val="00E245C7"/>
    <w:rsid w:val="00E245CC"/>
    <w:rsid w:val="00E26626"/>
    <w:rsid w:val="00E447ED"/>
    <w:rsid w:val="00EA4D53"/>
    <w:rsid w:val="00EB33F5"/>
    <w:rsid w:val="00ED1B69"/>
    <w:rsid w:val="00F22B55"/>
    <w:rsid w:val="00F5270A"/>
    <w:rsid w:val="00F55BE1"/>
    <w:rsid w:val="00F71E95"/>
    <w:rsid w:val="00F77E48"/>
    <w:rsid w:val="00FB7102"/>
    <w:rsid w:val="00FC19D2"/>
    <w:rsid w:val="00FD47F1"/>
    <w:rsid w:val="00FE2E20"/>
    <w:rsid w:val="00FE39AA"/>
    <w:rsid w:val="0CEEA3AD"/>
    <w:rsid w:val="12D4C024"/>
    <w:rsid w:val="20240A25"/>
    <w:rsid w:val="36AE7C30"/>
    <w:rsid w:val="3CD89D97"/>
    <w:rsid w:val="532895FF"/>
    <w:rsid w:val="560346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8A6882"/>
  <w15:chartTrackingRefBased/>
  <w15:docId w15:val="{432A3539-515D-4D94-9D5B-F2AFF330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ED4"/>
    <w:pPr>
      <w:shd w:val="clear" w:color="auto" w:fill="FFFFFF"/>
      <w:spacing w:after="200" w:line="264" w:lineRule="auto"/>
    </w:pPr>
    <w:rPr>
      <w:rFonts w:ascii="Arial" w:eastAsia="Times New Roman" w:hAnsi="Arial" w:cs="Arial"/>
      <w:color w:val="000000" w:themeColor="text1"/>
      <w:sz w:val="22"/>
      <w:szCs w:val="22"/>
    </w:rPr>
  </w:style>
  <w:style w:type="paragraph" w:styleId="Ttol1">
    <w:name w:val="heading 1"/>
    <w:basedOn w:val="Normal"/>
    <w:next w:val="Normal"/>
    <w:link w:val="Ttol1Car"/>
    <w:uiPriority w:val="9"/>
    <w:qFormat/>
    <w:rsid w:val="00B634C1"/>
    <w:pPr>
      <w:pageBreakBefore/>
      <w:pBdr>
        <w:top w:val="single" w:sz="8" w:space="10" w:color="ED7D31"/>
      </w:pBdr>
      <w:spacing w:after="360"/>
      <w:outlineLvl w:val="0"/>
    </w:pPr>
    <w:rPr>
      <w:b/>
      <w:sz w:val="44"/>
      <w:szCs w:val="32"/>
    </w:rPr>
  </w:style>
  <w:style w:type="paragraph" w:styleId="Ttol2">
    <w:name w:val="heading 2"/>
    <w:basedOn w:val="Normal"/>
    <w:next w:val="Normal"/>
    <w:link w:val="Ttol2Car"/>
    <w:uiPriority w:val="9"/>
    <w:unhideWhenUsed/>
    <w:qFormat/>
    <w:rsid w:val="005E5E27"/>
    <w:pPr>
      <w:spacing w:before="480"/>
      <w:outlineLvl w:val="1"/>
    </w:pPr>
    <w:rPr>
      <w:b/>
      <w:color w:val="ED7D31" w:themeColor="accent2"/>
      <w:sz w:val="36"/>
      <w:szCs w:val="36"/>
    </w:rPr>
  </w:style>
  <w:style w:type="paragraph" w:styleId="Ttol3">
    <w:name w:val="heading 3"/>
    <w:basedOn w:val="Normal"/>
    <w:next w:val="Normal"/>
    <w:link w:val="Ttol3Car"/>
    <w:uiPriority w:val="9"/>
    <w:unhideWhenUsed/>
    <w:qFormat/>
    <w:rsid w:val="00B634C1"/>
    <w:pPr>
      <w:spacing w:before="480" w:after="120"/>
      <w:outlineLvl w:val="2"/>
    </w:pPr>
    <w:rPr>
      <w:color w:val="595959" w:themeColor="text1" w:themeTint="A6"/>
      <w:sz w:val="36"/>
    </w:rPr>
  </w:style>
  <w:style w:type="paragraph" w:styleId="Ttol4">
    <w:name w:val="heading 4"/>
    <w:basedOn w:val="Normal"/>
    <w:next w:val="Normal"/>
    <w:link w:val="Ttol4Car"/>
    <w:uiPriority w:val="9"/>
    <w:unhideWhenUsed/>
    <w:qFormat/>
    <w:rsid w:val="00386460"/>
    <w:pPr>
      <w:spacing w:before="360" w:after="120"/>
      <w:outlineLvl w:val="3"/>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3503B"/>
    <w:pPr>
      <w:tabs>
        <w:tab w:val="center" w:pos="4680"/>
        <w:tab w:val="right" w:pos="9360"/>
      </w:tabs>
    </w:pPr>
  </w:style>
  <w:style w:type="character" w:customStyle="1" w:styleId="CapaleraCar">
    <w:name w:val="Capçalera Car"/>
    <w:basedOn w:val="Tipusdelletraperdefectedelpargraf"/>
    <w:link w:val="Capalera"/>
    <w:uiPriority w:val="99"/>
    <w:rsid w:val="00A3503B"/>
  </w:style>
  <w:style w:type="paragraph" w:styleId="Peu">
    <w:name w:val="footer"/>
    <w:basedOn w:val="Normal"/>
    <w:link w:val="PeuCar"/>
    <w:uiPriority w:val="99"/>
    <w:unhideWhenUsed/>
    <w:rsid w:val="00A3503B"/>
    <w:pPr>
      <w:tabs>
        <w:tab w:val="center" w:pos="4680"/>
        <w:tab w:val="right" w:pos="9360"/>
      </w:tabs>
    </w:pPr>
  </w:style>
  <w:style w:type="character" w:customStyle="1" w:styleId="PeuCar">
    <w:name w:val="Peu Car"/>
    <w:basedOn w:val="Tipusdelletraperdefectedelpargraf"/>
    <w:link w:val="Peu"/>
    <w:uiPriority w:val="99"/>
    <w:rsid w:val="00A3503B"/>
  </w:style>
  <w:style w:type="character" w:styleId="Nmerodepgina">
    <w:name w:val="page number"/>
    <w:basedOn w:val="Tipusdelletraperdefectedelpargraf"/>
    <w:uiPriority w:val="99"/>
    <w:semiHidden/>
    <w:unhideWhenUsed/>
    <w:rsid w:val="00FE39AA"/>
  </w:style>
  <w:style w:type="paragraph" w:customStyle="1" w:styleId="m1538649255665353656msolistparagraph">
    <w:name w:val="m_1538649255665353656msolistparagraph"/>
    <w:basedOn w:val="Normal"/>
    <w:rsid w:val="00FE39AA"/>
    <w:pPr>
      <w:spacing w:before="100" w:beforeAutospacing="1" w:after="100" w:afterAutospacing="1"/>
    </w:pPr>
    <w:rPr>
      <w:rFonts w:ascii="Times New Roman" w:hAnsi="Times New Roman" w:cs="Times New Roman"/>
    </w:rPr>
  </w:style>
  <w:style w:type="paragraph" w:styleId="Pargrafdellista">
    <w:name w:val="List Paragraph"/>
    <w:basedOn w:val="Normal"/>
    <w:uiPriority w:val="34"/>
    <w:qFormat/>
    <w:rsid w:val="004C0587"/>
    <w:pPr>
      <w:ind w:left="720"/>
      <w:contextualSpacing/>
    </w:pPr>
  </w:style>
  <w:style w:type="character" w:customStyle="1" w:styleId="Ttol1Car">
    <w:name w:val="Títol 1 Car"/>
    <w:basedOn w:val="Tipusdelletraperdefectedelpargraf"/>
    <w:link w:val="Ttol1"/>
    <w:uiPriority w:val="9"/>
    <w:rsid w:val="00B634C1"/>
    <w:rPr>
      <w:rFonts w:ascii="Arial" w:eastAsia="Times New Roman" w:hAnsi="Arial" w:cs="Arial"/>
      <w:b/>
      <w:color w:val="000000" w:themeColor="text1"/>
      <w:sz w:val="44"/>
      <w:szCs w:val="32"/>
      <w:shd w:val="clear" w:color="auto" w:fill="FFFFFF"/>
    </w:rPr>
  </w:style>
  <w:style w:type="character" w:customStyle="1" w:styleId="Ttol2Car">
    <w:name w:val="Títol 2 Car"/>
    <w:basedOn w:val="Tipusdelletraperdefectedelpargraf"/>
    <w:link w:val="Ttol2"/>
    <w:uiPriority w:val="9"/>
    <w:rsid w:val="005E5E27"/>
    <w:rPr>
      <w:rFonts w:ascii="Arial" w:eastAsia="Times New Roman" w:hAnsi="Arial" w:cs="Arial"/>
      <w:b/>
      <w:color w:val="ED7D31" w:themeColor="accent2"/>
      <w:sz w:val="36"/>
      <w:szCs w:val="36"/>
      <w:shd w:val="clear" w:color="auto" w:fill="FFFFFF"/>
    </w:rPr>
  </w:style>
  <w:style w:type="character" w:customStyle="1" w:styleId="Ttol3Car">
    <w:name w:val="Títol 3 Car"/>
    <w:basedOn w:val="Tipusdelletraperdefectedelpargraf"/>
    <w:link w:val="Ttol3"/>
    <w:uiPriority w:val="9"/>
    <w:rsid w:val="00B634C1"/>
    <w:rPr>
      <w:rFonts w:ascii="Arial" w:eastAsia="Times New Roman" w:hAnsi="Arial" w:cs="Arial"/>
      <w:color w:val="595959" w:themeColor="text1" w:themeTint="A6"/>
      <w:sz w:val="36"/>
      <w:szCs w:val="22"/>
      <w:shd w:val="clear" w:color="auto" w:fill="FFFFFF"/>
    </w:rPr>
  </w:style>
  <w:style w:type="character" w:customStyle="1" w:styleId="Ttol4Car">
    <w:name w:val="Títol 4 Car"/>
    <w:basedOn w:val="Tipusdelletraperdefectedelpargraf"/>
    <w:link w:val="Ttol4"/>
    <w:uiPriority w:val="9"/>
    <w:rsid w:val="00386460"/>
    <w:rPr>
      <w:rFonts w:ascii="Arial" w:eastAsia="Times New Roman" w:hAnsi="Arial" w:cs="Arial"/>
      <w:b/>
      <w:color w:val="000000" w:themeColor="text1"/>
      <w:sz w:val="22"/>
      <w:szCs w:val="22"/>
      <w:shd w:val="clear" w:color="auto" w:fill="FFFFFF"/>
    </w:rPr>
  </w:style>
  <w:style w:type="paragraph" w:customStyle="1" w:styleId="Destacat">
    <w:name w:val="Destacat"/>
    <w:basedOn w:val="Normal"/>
    <w:qFormat/>
    <w:rsid w:val="00B634C1"/>
    <w:pPr>
      <w:pBdr>
        <w:top w:val="single" w:sz="4" w:space="5" w:color="ED7D31"/>
        <w:left w:val="single" w:sz="4" w:space="4" w:color="ED7D31"/>
        <w:bottom w:val="single" w:sz="4" w:space="5" w:color="ED7D31"/>
        <w:right w:val="single" w:sz="4" w:space="4" w:color="ED7D31"/>
      </w:pBdr>
      <w:shd w:val="pct5" w:color="auto" w:fill="FFFFFF"/>
      <w:spacing w:before="360" w:after="360"/>
    </w:pPr>
    <w:rPr>
      <w:b/>
    </w:rPr>
  </w:style>
  <w:style w:type="paragraph" w:customStyle="1" w:styleId="Llistapunts2">
    <w:name w:val="Llista punts 2"/>
    <w:basedOn w:val="Pargrafdellista"/>
    <w:qFormat/>
    <w:rsid w:val="00386460"/>
    <w:pPr>
      <w:numPr>
        <w:numId w:val="2"/>
      </w:numPr>
      <w:spacing w:after="120"/>
      <w:ind w:left="714" w:hanging="357"/>
    </w:pPr>
  </w:style>
  <w:style w:type="paragraph" w:customStyle="1" w:styleId="Listapunts2Darreralnia">
    <w:name w:val="Lista punts 2 Darrera línia"/>
    <w:basedOn w:val="Llistapunts2"/>
    <w:qFormat/>
    <w:rsid w:val="00386460"/>
    <w:pPr>
      <w:spacing w:after="360"/>
      <w:contextualSpacing w:val="0"/>
    </w:pPr>
  </w:style>
  <w:style w:type="paragraph" w:customStyle="1" w:styleId="Llistapunts1">
    <w:name w:val="Llista punts 1"/>
    <w:basedOn w:val="Pargrafdellista"/>
    <w:qFormat/>
    <w:rsid w:val="00386460"/>
    <w:pPr>
      <w:spacing w:after="120"/>
      <w:ind w:left="284" w:hanging="284"/>
      <w:contextualSpacing w:val="0"/>
    </w:pPr>
  </w:style>
  <w:style w:type="paragraph" w:customStyle="1" w:styleId="Llistapunts1Darreralnia">
    <w:name w:val="Llista punts 1 Darrera línia"/>
    <w:basedOn w:val="Pargrafdellista"/>
    <w:qFormat/>
    <w:rsid w:val="00386460"/>
    <w:pPr>
      <w:numPr>
        <w:numId w:val="1"/>
      </w:numPr>
      <w:ind w:left="284" w:hanging="284"/>
      <w:contextualSpacing w:val="0"/>
    </w:pPr>
  </w:style>
  <w:style w:type="paragraph" w:styleId="TtoldelIDC">
    <w:name w:val="TOC Heading"/>
    <w:next w:val="Normal"/>
    <w:uiPriority w:val="39"/>
    <w:unhideWhenUsed/>
    <w:qFormat/>
    <w:rsid w:val="00B634C1"/>
    <w:pPr>
      <w:keepNext/>
      <w:keepLines/>
      <w:spacing w:before="240" w:after="360"/>
    </w:pPr>
    <w:rPr>
      <w:rFonts w:eastAsiaTheme="majorEastAsia" w:cstheme="majorBidi"/>
      <w:b/>
      <w:color w:val="000000" w:themeColor="text1"/>
      <w:sz w:val="32"/>
      <w:szCs w:val="32"/>
    </w:rPr>
  </w:style>
  <w:style w:type="paragraph" w:styleId="IDC1">
    <w:name w:val="toc 1"/>
    <w:basedOn w:val="Normal"/>
    <w:next w:val="Normal"/>
    <w:autoRedefine/>
    <w:uiPriority w:val="39"/>
    <w:unhideWhenUsed/>
    <w:rsid w:val="00932D56"/>
    <w:pPr>
      <w:spacing w:before="240" w:after="100"/>
    </w:pPr>
    <w:rPr>
      <w:b/>
    </w:rPr>
  </w:style>
  <w:style w:type="paragraph" w:styleId="IDC2">
    <w:name w:val="toc 2"/>
    <w:basedOn w:val="Normal"/>
    <w:next w:val="Normal"/>
    <w:autoRedefine/>
    <w:uiPriority w:val="39"/>
    <w:unhideWhenUsed/>
    <w:rsid w:val="00932D56"/>
    <w:pPr>
      <w:spacing w:after="120"/>
    </w:pPr>
  </w:style>
  <w:style w:type="paragraph" w:styleId="IDC3">
    <w:name w:val="toc 3"/>
    <w:basedOn w:val="Normal"/>
    <w:next w:val="Normal"/>
    <w:autoRedefine/>
    <w:uiPriority w:val="39"/>
    <w:unhideWhenUsed/>
    <w:rsid w:val="00932D56"/>
    <w:pPr>
      <w:spacing w:after="100"/>
      <w:ind w:left="227"/>
    </w:pPr>
  </w:style>
  <w:style w:type="character" w:styleId="Enlla">
    <w:name w:val="Hyperlink"/>
    <w:basedOn w:val="Tipusdelletraperdefectedelpargraf"/>
    <w:uiPriority w:val="99"/>
    <w:unhideWhenUsed/>
    <w:rsid w:val="00386460"/>
    <w:rPr>
      <w:color w:val="0563C1" w:themeColor="hyperlink"/>
      <w:u w:val="single"/>
    </w:rPr>
  </w:style>
  <w:style w:type="paragraph" w:customStyle="1" w:styleId="Enllacparticipa">
    <w:name w:val="Enllac_participa"/>
    <w:qFormat/>
    <w:rsid w:val="00386460"/>
    <w:pPr>
      <w:ind w:hanging="567"/>
    </w:pPr>
    <w:rPr>
      <w:rFonts w:ascii="Arial" w:eastAsia="Times New Roman" w:hAnsi="Arial" w:cs="Arial"/>
      <w:b/>
      <w:color w:val="ED7D31"/>
      <w:sz w:val="22"/>
      <w:szCs w:val="22"/>
    </w:rPr>
  </w:style>
  <w:style w:type="paragraph" w:customStyle="1" w:styleId="Textavs">
    <w:name w:val="Text avís"/>
    <w:basedOn w:val="Normal"/>
    <w:qFormat/>
    <w:rsid w:val="00932D56"/>
    <w:pPr>
      <w:pBdr>
        <w:top w:val="single" w:sz="8" w:space="11" w:color="ED7D31"/>
        <w:left w:val="single" w:sz="8" w:space="11" w:color="ED7D31"/>
        <w:bottom w:val="single" w:sz="8" w:space="11" w:color="ED7D31"/>
        <w:right w:val="single" w:sz="8" w:space="11" w:color="ED7D31"/>
      </w:pBdr>
      <w:shd w:val="clear" w:color="auto" w:fill="FFF2CC" w:themeFill="accent4" w:themeFillTint="33"/>
      <w:spacing w:before="240" w:after="240"/>
      <w:ind w:left="170" w:right="170"/>
    </w:pPr>
    <w:rPr>
      <w:color w:val="404040" w:themeColor="text1" w:themeTint="BF"/>
      <w:sz w:val="20"/>
    </w:rPr>
  </w:style>
  <w:style w:type="table" w:styleId="Taulaambquadrcula">
    <w:name w:val="Table Grid"/>
    <w:basedOn w:val="Taulanormal"/>
    <w:uiPriority w:val="39"/>
    <w:rsid w:val="00714A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617">
      <w:bodyDiv w:val="1"/>
      <w:marLeft w:val="0"/>
      <w:marRight w:val="0"/>
      <w:marTop w:val="0"/>
      <w:marBottom w:val="0"/>
      <w:divBdr>
        <w:top w:val="none" w:sz="0" w:space="0" w:color="auto"/>
        <w:left w:val="none" w:sz="0" w:space="0" w:color="auto"/>
        <w:bottom w:val="none" w:sz="0" w:space="0" w:color="auto"/>
        <w:right w:val="none" w:sz="0" w:space="0" w:color="auto"/>
      </w:divBdr>
    </w:div>
    <w:div w:id="299309181">
      <w:bodyDiv w:val="1"/>
      <w:marLeft w:val="0"/>
      <w:marRight w:val="0"/>
      <w:marTop w:val="0"/>
      <w:marBottom w:val="0"/>
      <w:divBdr>
        <w:top w:val="none" w:sz="0" w:space="0" w:color="auto"/>
        <w:left w:val="none" w:sz="0" w:space="0" w:color="auto"/>
        <w:bottom w:val="none" w:sz="0" w:space="0" w:color="auto"/>
        <w:right w:val="none" w:sz="0" w:space="0" w:color="auto"/>
      </w:divBdr>
    </w:div>
    <w:div w:id="465005812">
      <w:bodyDiv w:val="1"/>
      <w:marLeft w:val="0"/>
      <w:marRight w:val="0"/>
      <w:marTop w:val="0"/>
      <w:marBottom w:val="0"/>
      <w:divBdr>
        <w:top w:val="none" w:sz="0" w:space="0" w:color="auto"/>
        <w:left w:val="none" w:sz="0" w:space="0" w:color="auto"/>
        <w:bottom w:val="none" w:sz="0" w:space="0" w:color="auto"/>
        <w:right w:val="none" w:sz="0" w:space="0" w:color="auto"/>
      </w:divBdr>
    </w:div>
    <w:div w:id="1423800317">
      <w:bodyDiv w:val="1"/>
      <w:marLeft w:val="0"/>
      <w:marRight w:val="0"/>
      <w:marTop w:val="0"/>
      <w:marBottom w:val="0"/>
      <w:divBdr>
        <w:top w:val="none" w:sz="0" w:space="0" w:color="auto"/>
        <w:left w:val="none" w:sz="0" w:space="0" w:color="auto"/>
        <w:bottom w:val="none" w:sz="0" w:space="0" w:color="auto"/>
        <w:right w:val="none" w:sz="0" w:space="0" w:color="auto"/>
      </w:divBdr>
    </w:div>
    <w:div w:id="1600061582">
      <w:bodyDiv w:val="1"/>
      <w:marLeft w:val="0"/>
      <w:marRight w:val="0"/>
      <w:marTop w:val="0"/>
      <w:marBottom w:val="0"/>
      <w:divBdr>
        <w:top w:val="none" w:sz="0" w:space="0" w:color="auto"/>
        <w:left w:val="none" w:sz="0" w:space="0" w:color="auto"/>
        <w:bottom w:val="none" w:sz="0" w:space="0" w:color="auto"/>
        <w:right w:val="none" w:sz="0" w:space="0" w:color="auto"/>
      </w:divBdr>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
    <w:div w:id="20085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app.powerbi.com/view?r=eyJrIjoiZWYwMjQ1NDYtMzZmZi00ODM0LWE1MGUtODI0ZjdkNzkyNzBhIiwidCI6IjNiOTQyN2RjLWQzMGUtNDNiYy04YzA2LWZmNzI1MzY3NmZlYyIsImMiOjh9" TargetMode="External"/><Relationship Id="rId3" Type="http://schemas.openxmlformats.org/officeDocument/2006/relationships/customXml" Target="../customXml/item3.xml"/><Relationship Id="rId21" Type="http://schemas.openxmlformats.org/officeDocument/2006/relationships/hyperlink" Target="https://economia.gencat.cat/ca/ambits-actuacio/analisi-finances-publiques/financament-autonomi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onomia.gencat.cat/web/.content/70_pressupostos/enllacos/elaboracio-2024/Informe-orientacions-pressupostaries.pdf" TargetMode="External"/><Relationship Id="rId25" Type="http://schemas.openxmlformats.org/officeDocument/2006/relationships/hyperlink" Target="https://app.powerbi.com/view?r=eyJrIjoiNzEwMjFiMjItMzExZC00NjgyLWFkY2EtYWI1ODkyZjI2M2RhIiwidCI6IjNiOTQyN2RjLWQzMGUtNDNiYy04YzA2LWZmNzI1MzY3NmZlYyIsImMiOjh9&amp;pageName=ReportSection9ffa3376d61eb03a5e33"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economia.gencat.cat/ca/ambits-actuacio/analisi-finances-publiques/estadistiques-indicadors-financers/recaptacio-tributaria-cataluny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plicacions.economia.gencat.cat/wpres/AppPHP/2023/pdf/EXCLPR.pdf"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app.powerbi.com/view?r=eyJrIjoiOWY3MGNmZWUtNzJmMy00ODc1LTkxOTAtMWI2ZmUxZDNlNjJkIiwidCI6IjNiOTQyN2RjLWQzMGUtNDNiYy04YzA2LWZmNzI1MzY3NmZlYyIsImMiOjh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onomia.gencat.cat/ca/ambits-actuacio/tribu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conomia.gencat.cat/web/.content/70_pressupostos/enllacos/elaboracio-2024/Informe-orientacions-pressupostaries.pdf" TargetMode="External"/><Relationship Id="rId27" Type="http://schemas.openxmlformats.org/officeDocument/2006/relationships/hyperlink" Target="https://aplicacions.economia.gencat.cat/wpres/simulador.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participa.gencat.ca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764717J\AppData\Local\Microsoft\Windows\INetCache\Content.Outlook\N73GLSBK\PlantillaExterio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c11177-adea-4a8c-9af1-536775451432">
      <Terms xmlns="http://schemas.microsoft.com/office/infopath/2007/PartnerControls"/>
    </lcf76f155ced4ddcb4097134ff3c332f>
    <TaxCatchAll xmlns="2c598f3d-5199-46e9-abe8-f107012283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6" ma:contentTypeDescription="Crea un document nou" ma:contentTypeScope="" ma:versionID="8c4b373d43ba0f0748d5938fb4a7f851">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a08aad512c7b8b02462a9f0df681ea98"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bd991d93-13e2-4a69-83f6-dfbb0c5e7eff}" ma:internalName="TaxCatchAll" ma:showField="CatchAllData" ma:web="2c598f3d-5199-46e9-abe8-f10701228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8FDD-C3F6-45CA-A94C-CDD6463104B0}">
  <ds:schemaRefs>
    <ds:schemaRef ds:uri="http://schemas.microsoft.com/sharepoint/v3/contenttype/forms"/>
  </ds:schemaRefs>
</ds:datastoreItem>
</file>

<file path=customXml/itemProps2.xml><?xml version="1.0" encoding="utf-8"?>
<ds:datastoreItem xmlns:ds="http://schemas.openxmlformats.org/officeDocument/2006/customXml" ds:itemID="{F0EC6ACA-D4C4-477F-B67C-979DB129A3F7}">
  <ds:schemaRefs>
    <ds:schemaRef ds:uri="http://purl.org/dc/elements/1.1/"/>
    <ds:schemaRef ds:uri="http://purl.org/dc/terms/"/>
    <ds:schemaRef ds:uri="2c598f3d-5199-46e9-abe8-f1070122838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9c11177-adea-4a8c-9af1-53677545143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D9BBA62-D70D-4A40-8F46-2C203F0E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3CD08-4B61-4EDA-8599-0454C74E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PlantillaExteriors.dotx</Template>
  <TotalTime>0</TotalTime>
  <Pages>11</Pages>
  <Words>2694</Words>
  <Characters>15358</Characters>
  <Application>Microsoft Office Word</Application>
  <DocSecurity>0</DocSecurity>
  <Lines>127</Lines>
  <Paragraphs>36</Paragraphs>
  <ScaleCrop>false</ScaleCrop>
  <HeadingPairs>
    <vt:vector size="2" baseType="variant">
      <vt:variant>
        <vt:lpstr>Títol</vt:lpstr>
      </vt:variant>
      <vt:variant>
        <vt:i4>1</vt:i4>
      </vt:variant>
    </vt:vector>
  </HeadingPairs>
  <TitlesOfParts>
    <vt:vector size="1" baseType="lpstr">
      <vt:lpstr>Informe descriptivo del eje 2: Opciones de ingresos y gastos para ganar espacio para financiar nuevas iniciativas (en castellano)</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descriptivo del eje 2: Opciones de ingresos y gastos para ganar espacio para financiar nuevas iniciativas (en castellano)</dc:title>
  <dc:subject/>
  <dc:creator>Generalitat de Catalunya</dc:creator>
  <cp:keywords/>
  <dc:description/>
  <cp:lastModifiedBy>Gutiérrez Fernández, Manuel</cp:lastModifiedBy>
  <cp:revision>3</cp:revision>
  <dcterms:created xsi:type="dcterms:W3CDTF">2024-05-24T11:29:00Z</dcterms:created>
  <dcterms:modified xsi:type="dcterms:W3CDTF">2024-05-24T11:30:00Z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MediaServiceImageTags">
    <vt:lpwstr/>
  </property>
</Properties>
</file>