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210"/>
      </w:tblGrid>
      <w:tr w:rsidR="00114A26" w:rsidRPr="00114A26" w:rsidTr="00016056">
        <w:tc>
          <w:tcPr>
            <w:tcW w:w="9210" w:type="dxa"/>
            <w:shd w:val="clear" w:color="auto" w:fill="F2F2F2" w:themeFill="background1" w:themeFillShade="F2"/>
          </w:tcPr>
          <w:p w:rsidR="00114A26" w:rsidRPr="00114A26" w:rsidRDefault="00114A26" w:rsidP="00114A26">
            <w:pPr>
              <w:rPr>
                <w:b/>
              </w:rPr>
            </w:pPr>
            <w:bookmarkStart w:id="0" w:name="_GoBack"/>
            <w:bookmarkEnd w:id="0"/>
            <w:r w:rsidRPr="00114A26">
              <w:rPr>
                <w:b/>
              </w:rPr>
              <w:t>Consulta relativa a: Regulació de l’oferta formativa i dels requisits de les escoles que imparteixen ensenyaments no reglats de música i de dansa</w:t>
            </w:r>
          </w:p>
          <w:p w:rsidR="00114A26" w:rsidRDefault="00A130A3" w:rsidP="00114A26">
            <w:pPr>
              <w:rPr>
                <w:b/>
              </w:rPr>
            </w:pPr>
            <w:r>
              <w:rPr>
                <w:b/>
              </w:rPr>
              <w:t>Introducció</w:t>
            </w:r>
          </w:p>
          <w:p w:rsidR="00A130A3" w:rsidRPr="00114A26" w:rsidRDefault="00A130A3" w:rsidP="00F66234">
            <w:pPr>
              <w:rPr>
                <w:b/>
              </w:rPr>
            </w:pPr>
            <w:r w:rsidRPr="00A130A3">
              <w:t>Les</w:t>
            </w:r>
            <w:r>
              <w:t xml:space="preserve"> </w:t>
            </w:r>
            <w:r w:rsidRPr="00A130A3">
              <w:t>escoles que imparteixen ensenyaments no reglats de música i de dansa</w:t>
            </w:r>
            <w:r>
              <w:t xml:space="preserve"> tenen una llarga tradició històrica. La normativa educativa distingeix des de 1990, pel que fa als </w:t>
            </w:r>
            <w:r w:rsidRPr="00A130A3">
              <w:t>ensenyaments de música i de dansa</w:t>
            </w:r>
            <w:r>
              <w:t xml:space="preserve">, entre </w:t>
            </w:r>
            <w:r w:rsidRPr="00A130A3">
              <w:t>les escoles que imparteixen ensenyaments reglats</w:t>
            </w:r>
            <w:r>
              <w:t xml:space="preserve"> i les que </w:t>
            </w:r>
            <w:r w:rsidRPr="00A130A3">
              <w:t>imparteixen ensenyaments no reglats</w:t>
            </w:r>
            <w:r>
              <w:t xml:space="preserve">, i tot i ser no reglats sí que els regula mínimament. </w:t>
            </w:r>
            <w:r w:rsidR="009876E9">
              <w:t>L’actual regulació és de 1993.</w:t>
            </w:r>
          </w:p>
        </w:tc>
      </w:tr>
      <w:tr w:rsidR="00114A26" w:rsidRPr="00114A26" w:rsidTr="00016056">
        <w:tc>
          <w:tcPr>
            <w:tcW w:w="9210" w:type="dxa"/>
            <w:shd w:val="clear" w:color="auto" w:fill="DBE5F1" w:themeFill="accent1" w:themeFillTint="33"/>
          </w:tcPr>
          <w:p w:rsidR="00114A26" w:rsidRPr="00114A26" w:rsidRDefault="00114A26" w:rsidP="00114A26">
            <w:pPr>
              <w:rPr>
                <w:b/>
              </w:rPr>
            </w:pPr>
            <w:r w:rsidRPr="00114A26">
              <w:rPr>
                <w:b/>
              </w:rPr>
              <w:t>1. Problemes que es pretenen solucionar amb la iniciativa.</w:t>
            </w:r>
          </w:p>
        </w:tc>
      </w:tr>
      <w:tr w:rsidR="00114A26" w:rsidRPr="00114A26" w:rsidTr="00016056">
        <w:tc>
          <w:tcPr>
            <w:tcW w:w="9210" w:type="dxa"/>
          </w:tcPr>
          <w:p w:rsidR="00114A26" w:rsidRPr="00114A26" w:rsidRDefault="00114A26" w:rsidP="00114A26"/>
          <w:p w:rsidR="00114A26" w:rsidRDefault="00114A26" w:rsidP="00114A26">
            <w:pPr>
              <w:rPr>
                <w:i/>
              </w:rPr>
            </w:pPr>
            <w:r w:rsidRPr="00114A26">
              <w:t xml:space="preserve">1. </w:t>
            </w:r>
            <w:r w:rsidRPr="00114A26">
              <w:rPr>
                <w:i/>
              </w:rPr>
              <w:t>Problem</w:t>
            </w:r>
            <w:r w:rsidR="009876E9">
              <w:rPr>
                <w:i/>
              </w:rPr>
              <w:t>es</w:t>
            </w:r>
            <w:r w:rsidRPr="00114A26">
              <w:rPr>
                <w:i/>
              </w:rPr>
              <w:t xml:space="preserve"> detectat</w:t>
            </w:r>
            <w:r w:rsidR="009876E9">
              <w:rPr>
                <w:i/>
              </w:rPr>
              <w:t>s, causes i conseqüències</w:t>
            </w: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3"/>
              <w:gridCol w:w="2993"/>
            </w:tblGrid>
            <w:tr w:rsidR="009876E9" w:rsidTr="009876E9">
              <w:tc>
                <w:tcPr>
                  <w:tcW w:w="2993" w:type="dxa"/>
                </w:tcPr>
                <w:p w:rsidR="009876E9" w:rsidRDefault="009876E9" w:rsidP="009876E9">
                  <w:pPr>
                    <w:rPr>
                      <w:i/>
                    </w:rPr>
                  </w:pPr>
                  <w:r>
                    <w:rPr>
                      <w:i/>
                    </w:rPr>
                    <w:t>Problemes detectats</w:t>
                  </w:r>
                </w:p>
              </w:tc>
              <w:tc>
                <w:tcPr>
                  <w:tcW w:w="2993" w:type="dxa"/>
                </w:tcPr>
                <w:p w:rsidR="009876E9" w:rsidRDefault="009876E9" w:rsidP="00114A26">
                  <w:pPr>
                    <w:rPr>
                      <w:i/>
                    </w:rPr>
                  </w:pPr>
                  <w:r>
                    <w:rPr>
                      <w:i/>
                    </w:rPr>
                    <w:t>Causes</w:t>
                  </w:r>
                </w:p>
              </w:tc>
              <w:tc>
                <w:tcPr>
                  <w:tcW w:w="2993" w:type="dxa"/>
                </w:tcPr>
                <w:p w:rsidR="009876E9" w:rsidRDefault="009876E9" w:rsidP="009876E9">
                  <w:pPr>
                    <w:rPr>
                      <w:i/>
                    </w:rPr>
                  </w:pPr>
                  <w:r>
                    <w:rPr>
                      <w:i/>
                    </w:rPr>
                    <w:t>Conseqüències</w:t>
                  </w:r>
                </w:p>
              </w:tc>
            </w:tr>
            <w:tr w:rsidR="009876E9" w:rsidTr="009876E9">
              <w:tc>
                <w:tcPr>
                  <w:tcW w:w="2993" w:type="dxa"/>
                </w:tcPr>
                <w:p w:rsidR="009876E9" w:rsidRDefault="000B0525" w:rsidP="009876E9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a) </w:t>
                  </w:r>
                  <w:r w:rsidR="009876E9">
                    <w:rPr>
                      <w:i/>
                    </w:rPr>
                    <w:t>Els programes que imparteixen actualment les escoles són diversos i molt més complets, derivats</w:t>
                  </w:r>
                  <w:r w:rsidR="009876E9">
                    <w:t xml:space="preserve"> de </w:t>
                  </w:r>
                  <w:r w:rsidR="009876E9" w:rsidRPr="009876E9">
                    <w:rPr>
                      <w:i/>
                    </w:rPr>
                    <w:t>l’evolució social i educativa.</w:t>
                  </w:r>
                </w:p>
              </w:tc>
              <w:tc>
                <w:tcPr>
                  <w:tcW w:w="2993" w:type="dxa"/>
                </w:tcPr>
                <w:p w:rsidR="009876E9" w:rsidRDefault="009876E9" w:rsidP="009876E9">
                  <w:pPr>
                    <w:rPr>
                      <w:i/>
                    </w:rPr>
                  </w:pPr>
                  <w:r>
                    <w:rPr>
                      <w:i/>
                    </w:rPr>
                    <w:t>La definició actual dels programes és molt esquemàtica.</w:t>
                  </w:r>
                </w:p>
                <w:p w:rsidR="006C278C" w:rsidRDefault="006C278C" w:rsidP="009876E9">
                  <w:pPr>
                    <w:rPr>
                      <w:i/>
                    </w:rPr>
                  </w:pPr>
                </w:p>
                <w:p w:rsidR="006C278C" w:rsidRDefault="006C278C" w:rsidP="00F66234">
                  <w:pPr>
                    <w:rPr>
                      <w:i/>
                    </w:rPr>
                  </w:pPr>
                  <w:r w:rsidRPr="006C278C">
                    <w:rPr>
                      <w:i/>
                    </w:rPr>
                    <w:t>Després de 25</w:t>
                  </w:r>
                  <w:r w:rsidR="00F66234">
                    <w:rPr>
                      <w:i/>
                    </w:rPr>
                    <w:t xml:space="preserve"> anys</w:t>
                  </w:r>
                  <w:r w:rsidRPr="006C278C">
                    <w:rPr>
                      <w:i/>
                    </w:rPr>
                    <w:t xml:space="preserve"> s’ha incrementat l’interès i les competències dels alumnes pel que fa a la  música i a l’expressió corporal, de manera que les escoles han anat distingint i ampliant els seus programes,</w:t>
                  </w:r>
                  <w:r>
                    <w:rPr>
                      <w:i/>
                    </w:rPr>
                    <w:t xml:space="preserve"> per la qual cosa</w:t>
                  </w:r>
                  <w:r w:rsidR="00F66234">
                    <w:rPr>
                      <w:i/>
                    </w:rPr>
                    <w:t>,</w:t>
                  </w:r>
                  <w:r w:rsidRPr="006C278C">
                    <w:rPr>
                      <w:i/>
                    </w:rPr>
                    <w:t xml:space="preserve"> convé recollir aquesta evolució definint uns nous elements mínims dels programes.</w:t>
                  </w:r>
                </w:p>
                <w:p w:rsidR="006C278C" w:rsidRDefault="006C278C" w:rsidP="009876E9">
                  <w:pPr>
                    <w:rPr>
                      <w:i/>
                    </w:rPr>
                  </w:pPr>
                </w:p>
              </w:tc>
              <w:tc>
                <w:tcPr>
                  <w:tcW w:w="2993" w:type="dxa"/>
                </w:tcPr>
                <w:p w:rsidR="009876E9" w:rsidRDefault="006C278C" w:rsidP="00A606CC">
                  <w:pPr>
                    <w:rPr>
                      <w:i/>
                    </w:rPr>
                  </w:pPr>
                  <w:r w:rsidRPr="006C278C">
                    <w:rPr>
                      <w:i/>
                    </w:rPr>
                    <w:t xml:space="preserve">El contingut i </w:t>
                  </w:r>
                  <w:r w:rsidR="00F66234">
                    <w:rPr>
                      <w:i/>
                    </w:rPr>
                    <w:t xml:space="preserve">la </w:t>
                  </w:r>
                  <w:r w:rsidRPr="006C278C">
                    <w:rPr>
                      <w:i/>
                    </w:rPr>
                    <w:t xml:space="preserve">diversitat dels programes de les escoles són </w:t>
                  </w:r>
                  <w:r>
                    <w:rPr>
                      <w:i/>
                    </w:rPr>
                    <w:t xml:space="preserve">molt </w:t>
                  </w:r>
                  <w:r w:rsidRPr="006C278C">
                    <w:rPr>
                      <w:i/>
                    </w:rPr>
                    <w:t xml:space="preserve">més complets que el </w:t>
                  </w:r>
                  <w:r w:rsidR="00A606CC">
                    <w:rPr>
                      <w:i/>
                    </w:rPr>
                    <w:t>que preveu</w:t>
                  </w:r>
                  <w:r w:rsidRPr="006C278C">
                    <w:rPr>
                      <w:i/>
                    </w:rPr>
                    <w:t xml:space="preserve"> el </w:t>
                  </w:r>
                  <w:r w:rsidR="00F66234">
                    <w:rPr>
                      <w:i/>
                    </w:rPr>
                    <w:t>D</w:t>
                  </w:r>
                  <w:r w:rsidRPr="006C278C">
                    <w:rPr>
                      <w:i/>
                    </w:rPr>
                    <w:t>ecret 179/1993</w:t>
                  </w:r>
                  <w:r w:rsidR="00A606CC">
                    <w:rPr>
                      <w:i/>
                    </w:rPr>
                    <w:t>, de 27 de juliol, pel qual es regulen les escoles de música i de dansa</w:t>
                  </w:r>
                  <w:r w:rsidRPr="006C278C">
                    <w:rPr>
                      <w:i/>
                    </w:rPr>
                    <w:t>.</w:t>
                  </w:r>
                </w:p>
                <w:p w:rsidR="00DE70EB" w:rsidRDefault="00DE70EB" w:rsidP="006C278C">
                  <w:pPr>
                    <w:rPr>
                      <w:i/>
                    </w:rPr>
                  </w:pPr>
                </w:p>
                <w:p w:rsidR="00DE70EB" w:rsidRDefault="00DE70EB" w:rsidP="00DE70EB">
                  <w:pPr>
                    <w:rPr>
                      <w:i/>
                    </w:rPr>
                  </w:pPr>
                  <w:r>
                    <w:rPr>
                      <w:i/>
                    </w:rPr>
                    <w:t>La normativa vigent no es correspon a</w:t>
                  </w:r>
                  <w:r w:rsidR="00F66234">
                    <w:rPr>
                      <w:i/>
                    </w:rPr>
                    <w:t>mb e</w:t>
                  </w:r>
                  <w:r>
                    <w:rPr>
                      <w:i/>
                    </w:rPr>
                    <w:t>ls programes que realment s’imparteixen.</w:t>
                  </w:r>
                </w:p>
              </w:tc>
            </w:tr>
            <w:tr w:rsidR="009876E9" w:rsidTr="009876E9">
              <w:tc>
                <w:tcPr>
                  <w:tcW w:w="2993" w:type="dxa"/>
                </w:tcPr>
                <w:p w:rsidR="009876E9" w:rsidRDefault="000B0525" w:rsidP="00B6114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b) </w:t>
                  </w:r>
                  <w:r w:rsidR="006C278C" w:rsidRPr="006C278C">
                    <w:rPr>
                      <w:i/>
                    </w:rPr>
                    <w:t>Les habilitacions del professorat</w:t>
                  </w:r>
                  <w:r w:rsidR="006C278C">
                    <w:rPr>
                      <w:i/>
                    </w:rPr>
                    <w:t xml:space="preserve"> </w:t>
                  </w:r>
                  <w:r w:rsidR="006C278C" w:rsidRPr="006C278C">
                    <w:rPr>
                      <w:i/>
                    </w:rPr>
                    <w:t>es fonamentaven</w:t>
                  </w:r>
                  <w:r w:rsidR="006C278C">
                    <w:rPr>
                      <w:i/>
                    </w:rPr>
                    <w:t xml:space="preserve"> </w:t>
                  </w:r>
                  <w:r w:rsidR="006C278C" w:rsidRPr="006C278C">
                    <w:rPr>
                      <w:i/>
                    </w:rPr>
                    <w:t>en el nombre limitat  de persones amb titulació acadèmica</w:t>
                  </w:r>
                  <w:r w:rsidR="00F66234">
                    <w:rPr>
                      <w:i/>
                    </w:rPr>
                    <w:t xml:space="preserve"> suficient</w:t>
                  </w:r>
                  <w:r w:rsidR="006C278C" w:rsidRPr="006C278C">
                    <w:rPr>
                      <w:i/>
                    </w:rPr>
                    <w:t xml:space="preserve"> per a impartir aquest</w:t>
                  </w:r>
                  <w:r w:rsidR="00B61144">
                    <w:rPr>
                      <w:i/>
                    </w:rPr>
                    <w:t>s</w:t>
                  </w:r>
                  <w:r w:rsidR="006C278C" w:rsidRPr="006C278C">
                    <w:rPr>
                      <w:i/>
                    </w:rPr>
                    <w:t xml:space="preserve"> ensenyament</w:t>
                  </w:r>
                  <w:r w:rsidR="00B61144">
                    <w:rPr>
                      <w:i/>
                    </w:rPr>
                    <w:t>s</w:t>
                  </w:r>
                  <w:r w:rsidR="006C278C" w:rsidRPr="006C278C">
                    <w:rPr>
                      <w:i/>
                    </w:rPr>
                    <w:t xml:space="preserve"> en aquells anys.</w:t>
                  </w:r>
                </w:p>
              </w:tc>
              <w:tc>
                <w:tcPr>
                  <w:tcW w:w="2993" w:type="dxa"/>
                </w:tcPr>
                <w:p w:rsidR="006C278C" w:rsidRPr="006C278C" w:rsidRDefault="006C278C" w:rsidP="00F66234">
                  <w:pPr>
                    <w:rPr>
                      <w:i/>
                    </w:rPr>
                  </w:pPr>
                  <w:r w:rsidRPr="006C278C">
                    <w:rPr>
                      <w:i/>
                    </w:rPr>
                    <w:t>L’increment de l’oferta de places per a obtenir les titulacions superiors de música i de dansa va acabar amb l’escassedat de titulats, per tant, mantenir l’habilitació de persones sens</w:t>
                  </w:r>
                  <w:r w:rsidR="00B61144">
                    <w:rPr>
                      <w:i/>
                    </w:rPr>
                    <w:t>e titulació és una mesura contrà</w:t>
                  </w:r>
                  <w:r w:rsidRPr="006C278C">
                    <w:rPr>
                      <w:i/>
                    </w:rPr>
                    <w:t>ria a les persones titulades, a l’activitat dels centres que les imparteixen i a l’acció de l’Administració que promou aquestes escoles.</w:t>
                  </w:r>
                </w:p>
                <w:p w:rsidR="009876E9" w:rsidRDefault="009876E9" w:rsidP="00114A26">
                  <w:pPr>
                    <w:rPr>
                      <w:i/>
                    </w:rPr>
                  </w:pPr>
                </w:p>
              </w:tc>
              <w:tc>
                <w:tcPr>
                  <w:tcW w:w="2993" w:type="dxa"/>
                </w:tcPr>
                <w:p w:rsidR="009876E9" w:rsidRDefault="006C278C" w:rsidP="00114A26">
                  <w:pPr>
                    <w:rPr>
                      <w:i/>
                    </w:rPr>
                  </w:pPr>
                  <w:r w:rsidRPr="006C278C">
                    <w:rPr>
                      <w:i/>
                    </w:rPr>
                    <w:t>Limita la inserció laboral dels professors amb la titulació superior.</w:t>
                  </w:r>
                </w:p>
                <w:p w:rsidR="000332B4" w:rsidRDefault="000332B4" w:rsidP="00114A26">
                  <w:pPr>
                    <w:rPr>
                      <w:i/>
                    </w:rPr>
                  </w:pPr>
                </w:p>
                <w:p w:rsidR="000332B4" w:rsidRDefault="000332B4" w:rsidP="00F6623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Cal acabar amb la contradicció de regular (i en bona part </w:t>
                  </w:r>
                  <w:r w:rsidR="00F66234">
                    <w:rPr>
                      <w:i/>
                    </w:rPr>
                    <w:t>finançar</w:t>
                  </w:r>
                  <w:r>
                    <w:rPr>
                      <w:i/>
                    </w:rPr>
                    <w:t xml:space="preserve"> amb diners públics) centres que imparteixen ensenyaments superiors de música i de dansa i, en canvi no exigir la possessió d’aquestes titulacions per a impartir-los.</w:t>
                  </w:r>
                </w:p>
              </w:tc>
            </w:tr>
            <w:tr w:rsidR="009876E9" w:rsidTr="009876E9">
              <w:tc>
                <w:tcPr>
                  <w:tcW w:w="2993" w:type="dxa"/>
                </w:tcPr>
                <w:p w:rsidR="009876E9" w:rsidRDefault="000B0525" w:rsidP="006C278C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c) </w:t>
                  </w:r>
                  <w:r w:rsidR="006C278C">
                    <w:rPr>
                      <w:i/>
                    </w:rPr>
                    <w:t>Els articles 2, 3, 4, 5, 7, i 12 no són vigents.</w:t>
                  </w:r>
                </w:p>
              </w:tc>
              <w:tc>
                <w:tcPr>
                  <w:tcW w:w="2993" w:type="dxa"/>
                </w:tcPr>
                <w:p w:rsidR="009876E9" w:rsidRDefault="006C278C" w:rsidP="00114A26">
                  <w:pPr>
                    <w:rPr>
                      <w:i/>
                    </w:rPr>
                  </w:pPr>
                  <w:r w:rsidRPr="006C278C">
                    <w:rPr>
                      <w:i/>
                    </w:rPr>
                    <w:t>Els articles 2, 3, 4, 5, 7, i 12 han estat derogats pel Decret 122/2012</w:t>
                  </w:r>
                  <w:r w:rsidR="00B61144">
                    <w:rPr>
                      <w:i/>
                    </w:rPr>
                    <w:t xml:space="preserve">, de 9 </w:t>
                  </w:r>
                  <w:r w:rsidR="00B61144">
                    <w:rPr>
                      <w:i/>
                    </w:rPr>
                    <w:lastRenderedPageBreak/>
                    <w:t xml:space="preserve">d’octubre, </w:t>
                  </w:r>
                  <w:r w:rsidR="00B61144" w:rsidRPr="00B61144">
                    <w:rPr>
                      <w:i/>
                    </w:rPr>
                    <w:t>del procediment d'autorització i de comunicació prèvia per a l'obertura de centres educatius privats</w:t>
                  </w:r>
                  <w:r w:rsidRPr="006C278C">
                    <w:rPr>
                      <w:i/>
                    </w:rPr>
                    <w:t>.</w:t>
                  </w:r>
                </w:p>
              </w:tc>
              <w:tc>
                <w:tcPr>
                  <w:tcW w:w="2993" w:type="dxa"/>
                </w:tcPr>
                <w:p w:rsidR="009876E9" w:rsidRDefault="006C278C" w:rsidP="00DE70EB">
                  <w:pPr>
                    <w:rPr>
                      <w:i/>
                    </w:rPr>
                  </w:pPr>
                  <w:r w:rsidRPr="006C278C">
                    <w:rPr>
                      <w:i/>
                    </w:rPr>
                    <w:lastRenderedPageBreak/>
                    <w:t>Es mantindr</w:t>
                  </w:r>
                  <w:r w:rsidR="00DE70EB">
                    <w:rPr>
                      <w:i/>
                    </w:rPr>
                    <w:t>i</w:t>
                  </w:r>
                  <w:r>
                    <w:rPr>
                      <w:i/>
                    </w:rPr>
                    <w:t>en</w:t>
                  </w:r>
                  <w:r w:rsidRPr="006C278C">
                    <w:rPr>
                      <w:i/>
                    </w:rPr>
                    <w:t xml:space="preserve"> article</w:t>
                  </w:r>
                  <w:r>
                    <w:rPr>
                      <w:i/>
                    </w:rPr>
                    <w:t>s</w:t>
                  </w:r>
                  <w:r w:rsidRPr="006C278C">
                    <w:rPr>
                      <w:i/>
                    </w:rPr>
                    <w:t xml:space="preserve"> no vigent</w:t>
                  </w:r>
                  <w:r>
                    <w:rPr>
                      <w:i/>
                    </w:rPr>
                    <w:t>s</w:t>
                  </w:r>
                  <w:r w:rsidR="00DE70EB">
                    <w:rPr>
                      <w:i/>
                    </w:rPr>
                    <w:t>.</w:t>
                  </w:r>
                </w:p>
              </w:tc>
            </w:tr>
          </w:tbl>
          <w:p w:rsidR="00114A26" w:rsidRPr="00114A26" w:rsidRDefault="00114A26" w:rsidP="00114A26"/>
          <w:p w:rsidR="00114A26" w:rsidRDefault="00114A26" w:rsidP="00114A26">
            <w:r w:rsidRPr="00114A26">
              <w:t xml:space="preserve">2. </w:t>
            </w:r>
            <w:r w:rsidRPr="00114A26">
              <w:rPr>
                <w:i/>
              </w:rPr>
              <w:t>Afectació:</w:t>
            </w:r>
            <w:r w:rsidRPr="00114A26">
              <w:t xml:space="preserve"> la iniciativa afecta les escoles que imparteixen ensenyaments no reglats de música i de dansa equivalents al nivell elemental.</w:t>
            </w:r>
          </w:p>
          <w:tbl>
            <w:tblPr>
              <w:tblStyle w:val="Taulaambquadrcula"/>
              <w:tblW w:w="0" w:type="auto"/>
              <w:tblInd w:w="1271" w:type="dxa"/>
              <w:tblLook w:val="04A0" w:firstRow="1" w:lastRow="0" w:firstColumn="1" w:lastColumn="0" w:noHBand="0" w:noVBand="1"/>
            </w:tblPr>
            <w:tblGrid>
              <w:gridCol w:w="1134"/>
              <w:gridCol w:w="1701"/>
              <w:gridCol w:w="1276"/>
              <w:gridCol w:w="1352"/>
              <w:gridCol w:w="1199"/>
            </w:tblGrid>
            <w:tr w:rsidR="00274091" w:rsidTr="00274091">
              <w:tc>
                <w:tcPr>
                  <w:tcW w:w="1134" w:type="dxa"/>
                  <w:vMerge w:val="restart"/>
                </w:tcPr>
                <w:p w:rsidR="00274091" w:rsidRDefault="00274091" w:rsidP="00274091">
                  <w:r>
                    <w:t>Música</w:t>
                  </w:r>
                </w:p>
              </w:tc>
              <w:tc>
                <w:tcPr>
                  <w:tcW w:w="1701" w:type="dxa"/>
                </w:tcPr>
                <w:p w:rsidR="00274091" w:rsidRDefault="00274091" w:rsidP="00114A26">
                  <w:r>
                    <w:t>Titularitat</w:t>
                  </w:r>
                </w:p>
                <w:p w:rsidR="00274091" w:rsidRDefault="00274091" w:rsidP="00114A26"/>
              </w:tc>
              <w:tc>
                <w:tcPr>
                  <w:tcW w:w="1276" w:type="dxa"/>
                </w:tcPr>
                <w:p w:rsidR="00274091" w:rsidRDefault="00274091" w:rsidP="00114A26">
                  <w:r>
                    <w:t>Centres</w:t>
                  </w:r>
                </w:p>
              </w:tc>
              <w:tc>
                <w:tcPr>
                  <w:tcW w:w="1352" w:type="dxa"/>
                </w:tcPr>
                <w:p w:rsidR="00274091" w:rsidRDefault="00274091" w:rsidP="00274091">
                  <w:r>
                    <w:t>Docents</w:t>
                  </w:r>
                </w:p>
              </w:tc>
              <w:tc>
                <w:tcPr>
                  <w:tcW w:w="1199" w:type="dxa"/>
                </w:tcPr>
                <w:p w:rsidR="00274091" w:rsidRDefault="00274091" w:rsidP="00274091">
                  <w:r>
                    <w:t>Alumnes</w:t>
                  </w:r>
                </w:p>
              </w:tc>
            </w:tr>
            <w:tr w:rsidR="00274091" w:rsidTr="00274091">
              <w:tc>
                <w:tcPr>
                  <w:tcW w:w="1134" w:type="dxa"/>
                  <w:vMerge/>
                </w:tcPr>
                <w:p w:rsidR="00274091" w:rsidRDefault="00274091" w:rsidP="00114A26"/>
              </w:tc>
              <w:tc>
                <w:tcPr>
                  <w:tcW w:w="1701" w:type="dxa"/>
                </w:tcPr>
                <w:p w:rsidR="00274091" w:rsidRDefault="00274091" w:rsidP="00274091">
                  <w:r>
                    <w:t>Pública</w:t>
                  </w:r>
                </w:p>
                <w:p w:rsidR="00274091" w:rsidRDefault="00274091" w:rsidP="00274091"/>
              </w:tc>
              <w:tc>
                <w:tcPr>
                  <w:tcW w:w="1276" w:type="dxa"/>
                </w:tcPr>
                <w:p w:rsidR="00274091" w:rsidRDefault="00274091" w:rsidP="00114A26">
                  <w:r>
                    <w:t xml:space="preserve">   170</w:t>
                  </w:r>
                </w:p>
              </w:tc>
              <w:tc>
                <w:tcPr>
                  <w:tcW w:w="1352" w:type="dxa"/>
                </w:tcPr>
                <w:p w:rsidR="00274091" w:rsidRDefault="00274091" w:rsidP="00114A26">
                  <w:r>
                    <w:t>3.011</w:t>
                  </w:r>
                </w:p>
              </w:tc>
              <w:tc>
                <w:tcPr>
                  <w:tcW w:w="1199" w:type="dxa"/>
                </w:tcPr>
                <w:p w:rsidR="00274091" w:rsidRDefault="00274091" w:rsidP="00114A26">
                  <w:r>
                    <w:t>47.901</w:t>
                  </w:r>
                </w:p>
              </w:tc>
            </w:tr>
            <w:tr w:rsidR="00274091" w:rsidTr="00274091">
              <w:tc>
                <w:tcPr>
                  <w:tcW w:w="1134" w:type="dxa"/>
                  <w:vMerge/>
                </w:tcPr>
                <w:p w:rsidR="00274091" w:rsidRDefault="00274091" w:rsidP="00114A26"/>
              </w:tc>
              <w:tc>
                <w:tcPr>
                  <w:tcW w:w="1701" w:type="dxa"/>
                </w:tcPr>
                <w:p w:rsidR="00274091" w:rsidRDefault="00274091" w:rsidP="00114A26">
                  <w:r>
                    <w:t>Privada</w:t>
                  </w:r>
                </w:p>
                <w:p w:rsidR="00274091" w:rsidRDefault="00274091" w:rsidP="00114A26"/>
              </w:tc>
              <w:tc>
                <w:tcPr>
                  <w:tcW w:w="1276" w:type="dxa"/>
                </w:tcPr>
                <w:p w:rsidR="00274091" w:rsidRDefault="00274091" w:rsidP="00114A26">
                  <w:r>
                    <w:t xml:space="preserve">     76</w:t>
                  </w:r>
                </w:p>
              </w:tc>
              <w:tc>
                <w:tcPr>
                  <w:tcW w:w="1352" w:type="dxa"/>
                </w:tcPr>
                <w:p w:rsidR="00274091" w:rsidRDefault="00274091" w:rsidP="00274091">
                  <w:r>
                    <w:t>1.505</w:t>
                  </w:r>
                </w:p>
              </w:tc>
              <w:tc>
                <w:tcPr>
                  <w:tcW w:w="1199" w:type="dxa"/>
                </w:tcPr>
                <w:p w:rsidR="00274091" w:rsidRDefault="00274091" w:rsidP="00114A26">
                  <w:r>
                    <w:t>16.276</w:t>
                  </w:r>
                </w:p>
              </w:tc>
            </w:tr>
          </w:tbl>
          <w:p w:rsidR="00274091" w:rsidRDefault="00274091" w:rsidP="00114A26"/>
          <w:tbl>
            <w:tblPr>
              <w:tblStyle w:val="Taulaambquadrcula"/>
              <w:tblW w:w="0" w:type="auto"/>
              <w:tblInd w:w="1271" w:type="dxa"/>
              <w:tblLook w:val="04A0" w:firstRow="1" w:lastRow="0" w:firstColumn="1" w:lastColumn="0" w:noHBand="0" w:noVBand="1"/>
            </w:tblPr>
            <w:tblGrid>
              <w:gridCol w:w="1134"/>
              <w:gridCol w:w="1701"/>
              <w:gridCol w:w="1276"/>
              <w:gridCol w:w="1352"/>
              <w:gridCol w:w="1199"/>
            </w:tblGrid>
            <w:tr w:rsidR="00274091" w:rsidTr="00274091">
              <w:tc>
                <w:tcPr>
                  <w:tcW w:w="1134" w:type="dxa"/>
                  <w:vMerge w:val="restart"/>
                </w:tcPr>
                <w:p w:rsidR="00274091" w:rsidRDefault="00274091" w:rsidP="00274091">
                  <w:r>
                    <w:t>Dansa</w:t>
                  </w:r>
                </w:p>
              </w:tc>
              <w:tc>
                <w:tcPr>
                  <w:tcW w:w="1701" w:type="dxa"/>
                </w:tcPr>
                <w:p w:rsidR="00274091" w:rsidRDefault="00274091" w:rsidP="0022013E">
                  <w:r>
                    <w:t>Titularitat</w:t>
                  </w:r>
                </w:p>
                <w:p w:rsidR="00274091" w:rsidRDefault="00274091" w:rsidP="0022013E"/>
              </w:tc>
              <w:tc>
                <w:tcPr>
                  <w:tcW w:w="1276" w:type="dxa"/>
                </w:tcPr>
                <w:p w:rsidR="00274091" w:rsidRDefault="00274091" w:rsidP="0022013E">
                  <w:r>
                    <w:t>Centres</w:t>
                  </w:r>
                </w:p>
              </w:tc>
              <w:tc>
                <w:tcPr>
                  <w:tcW w:w="1352" w:type="dxa"/>
                </w:tcPr>
                <w:p w:rsidR="00274091" w:rsidRDefault="00274091" w:rsidP="0022013E">
                  <w:r>
                    <w:t>Docents</w:t>
                  </w:r>
                </w:p>
              </w:tc>
              <w:tc>
                <w:tcPr>
                  <w:tcW w:w="1199" w:type="dxa"/>
                </w:tcPr>
                <w:p w:rsidR="00274091" w:rsidRDefault="00274091" w:rsidP="0022013E">
                  <w:r>
                    <w:t>Alumnes</w:t>
                  </w:r>
                </w:p>
              </w:tc>
            </w:tr>
            <w:tr w:rsidR="00274091" w:rsidTr="00274091">
              <w:tc>
                <w:tcPr>
                  <w:tcW w:w="1134" w:type="dxa"/>
                  <w:vMerge/>
                </w:tcPr>
                <w:p w:rsidR="00274091" w:rsidRDefault="00274091" w:rsidP="0022013E"/>
              </w:tc>
              <w:tc>
                <w:tcPr>
                  <w:tcW w:w="1701" w:type="dxa"/>
                </w:tcPr>
                <w:p w:rsidR="00274091" w:rsidRDefault="00274091" w:rsidP="0022013E">
                  <w:r>
                    <w:t>Pública</w:t>
                  </w:r>
                </w:p>
                <w:p w:rsidR="00274091" w:rsidRDefault="00274091" w:rsidP="0022013E"/>
              </w:tc>
              <w:tc>
                <w:tcPr>
                  <w:tcW w:w="1276" w:type="dxa"/>
                </w:tcPr>
                <w:p w:rsidR="00274091" w:rsidRDefault="00274091" w:rsidP="0022013E">
                  <w:r>
                    <w:t xml:space="preserve">    10</w:t>
                  </w:r>
                </w:p>
              </w:tc>
              <w:tc>
                <w:tcPr>
                  <w:tcW w:w="1352" w:type="dxa"/>
                </w:tcPr>
                <w:p w:rsidR="00274091" w:rsidRDefault="00274091" w:rsidP="0022013E">
                  <w:r>
                    <w:t xml:space="preserve">    65</w:t>
                  </w:r>
                </w:p>
              </w:tc>
              <w:tc>
                <w:tcPr>
                  <w:tcW w:w="1199" w:type="dxa"/>
                </w:tcPr>
                <w:p w:rsidR="00274091" w:rsidRDefault="00274091" w:rsidP="0022013E">
                  <w:r>
                    <w:t>1.743</w:t>
                  </w:r>
                </w:p>
              </w:tc>
            </w:tr>
            <w:tr w:rsidR="00274091" w:rsidTr="00274091">
              <w:tc>
                <w:tcPr>
                  <w:tcW w:w="1134" w:type="dxa"/>
                  <w:vMerge/>
                </w:tcPr>
                <w:p w:rsidR="00274091" w:rsidRDefault="00274091" w:rsidP="0022013E"/>
              </w:tc>
              <w:tc>
                <w:tcPr>
                  <w:tcW w:w="1701" w:type="dxa"/>
                </w:tcPr>
                <w:p w:rsidR="00274091" w:rsidRDefault="00274091" w:rsidP="0022013E">
                  <w:r>
                    <w:t>Privada</w:t>
                  </w:r>
                </w:p>
                <w:p w:rsidR="00274091" w:rsidRDefault="00274091" w:rsidP="0022013E">
                  <w:r>
                    <w:t xml:space="preserve">  </w:t>
                  </w:r>
                </w:p>
              </w:tc>
              <w:tc>
                <w:tcPr>
                  <w:tcW w:w="1276" w:type="dxa"/>
                </w:tcPr>
                <w:p w:rsidR="00274091" w:rsidRDefault="00274091" w:rsidP="0022013E">
                  <w:r>
                    <w:t xml:space="preserve">    55</w:t>
                  </w:r>
                </w:p>
              </w:tc>
              <w:tc>
                <w:tcPr>
                  <w:tcW w:w="1352" w:type="dxa"/>
                </w:tcPr>
                <w:p w:rsidR="00274091" w:rsidRDefault="00274091" w:rsidP="0022013E">
                  <w:r>
                    <w:t xml:space="preserve">  325</w:t>
                  </w:r>
                </w:p>
              </w:tc>
              <w:tc>
                <w:tcPr>
                  <w:tcW w:w="1199" w:type="dxa"/>
                </w:tcPr>
                <w:p w:rsidR="00274091" w:rsidRDefault="00274091" w:rsidP="0022013E">
                  <w:r>
                    <w:t>9.152</w:t>
                  </w:r>
                </w:p>
              </w:tc>
            </w:tr>
          </w:tbl>
          <w:p w:rsidR="00274091" w:rsidRDefault="00274091" w:rsidP="00114A26"/>
          <w:p w:rsidR="00114A26" w:rsidRPr="00114A26" w:rsidRDefault="00B61144" w:rsidP="00114A26">
            <w:r>
              <w:t>A música, afecta (*)</w:t>
            </w:r>
            <w:r w:rsidR="00114A26" w:rsidRPr="00114A26">
              <w:t xml:space="preserve"> 246 centres, 4</w:t>
            </w:r>
            <w:r w:rsidR="00BA4E57">
              <w:t>.</w:t>
            </w:r>
            <w:r w:rsidR="00114A26" w:rsidRPr="00114A26">
              <w:t>515 docents i 64.177 alumnes</w:t>
            </w:r>
          </w:p>
          <w:p w:rsidR="00114A26" w:rsidRPr="00114A26" w:rsidRDefault="00B61144" w:rsidP="00B61144">
            <w:r>
              <w:t>A dansa, afecta (*)</w:t>
            </w:r>
            <w:r w:rsidR="00114A26" w:rsidRPr="00114A26">
              <w:t xml:space="preserve"> 65 centres, 390 docents i 10.895 alumnes</w:t>
            </w:r>
          </w:p>
          <w:p w:rsidR="00274091" w:rsidRDefault="00114A26" w:rsidP="00274091">
            <w:pPr>
              <w:spacing w:after="0" w:line="240" w:lineRule="auto"/>
            </w:pPr>
            <w:r w:rsidRPr="00114A26">
              <w:t>(*) dades del curs acadèmic 2017-2018</w:t>
            </w:r>
            <w:r w:rsidR="008F2C02">
              <w:t>.</w:t>
            </w:r>
          </w:p>
          <w:p w:rsidR="00114A26" w:rsidRPr="00114A26" w:rsidRDefault="00274091" w:rsidP="00274091">
            <w:pPr>
              <w:spacing w:after="0" w:line="240" w:lineRule="auto"/>
            </w:pPr>
            <w:r>
              <w:t xml:space="preserve"> </w:t>
            </w:r>
            <w:r w:rsidRPr="00274091">
              <w:t>http://ensenyament.gencat.cat/ca/departament/estadistiques/estadistiques-ensenyament/</w:t>
            </w:r>
          </w:p>
          <w:p w:rsidR="00114A26" w:rsidRDefault="00114A26" w:rsidP="00274091">
            <w:pPr>
              <w:spacing w:after="0" w:line="240" w:lineRule="auto"/>
            </w:pPr>
          </w:p>
          <w:p w:rsidR="00274091" w:rsidRPr="00114A26" w:rsidRDefault="00274091" w:rsidP="00274091">
            <w:pPr>
              <w:spacing w:after="0" w:line="240" w:lineRule="auto"/>
            </w:pPr>
          </w:p>
          <w:p w:rsidR="00114A26" w:rsidRPr="00114A26" w:rsidRDefault="000B0525" w:rsidP="00114A26">
            <w:r>
              <w:t>3</w:t>
            </w:r>
            <w:r w:rsidR="00114A26" w:rsidRPr="00114A26">
              <w:t xml:space="preserve">. </w:t>
            </w:r>
            <w:r w:rsidR="00114A26" w:rsidRPr="00114A26">
              <w:rPr>
                <w:i/>
              </w:rPr>
              <w:t>Probabilitat que persisteixi si no es produeix una intervenció de l’Administració de la Generalitat:</w:t>
            </w:r>
          </w:p>
          <w:p w:rsidR="00114A26" w:rsidRPr="00114A26" w:rsidRDefault="00114A26" w:rsidP="00114A26">
            <w:r w:rsidRPr="00114A26">
              <w:t>a) Total.</w:t>
            </w:r>
          </w:p>
          <w:p w:rsidR="00114A26" w:rsidRPr="00114A26" w:rsidRDefault="00114A26" w:rsidP="00114A26">
            <w:r w:rsidRPr="00114A26">
              <w:t>b) Total.</w:t>
            </w:r>
          </w:p>
          <w:p w:rsidR="00114A26" w:rsidRPr="00114A26" w:rsidRDefault="00114A26" w:rsidP="00114A26">
            <w:r w:rsidRPr="00114A26">
              <w:t>c) Total.</w:t>
            </w:r>
          </w:p>
          <w:p w:rsidR="00B61144" w:rsidRPr="00114A26" w:rsidRDefault="00B61144" w:rsidP="00114A26"/>
        </w:tc>
      </w:tr>
      <w:tr w:rsidR="00114A26" w:rsidRPr="00114A26" w:rsidTr="00016056">
        <w:tblPrEx>
          <w:tblCellMar>
            <w:left w:w="70" w:type="dxa"/>
            <w:right w:w="70" w:type="dxa"/>
          </w:tblCellMar>
        </w:tblPrEx>
        <w:tc>
          <w:tcPr>
            <w:tcW w:w="9210" w:type="dxa"/>
            <w:shd w:val="clear" w:color="auto" w:fill="DBE5F1" w:themeFill="accent1" w:themeFillTint="33"/>
          </w:tcPr>
          <w:p w:rsidR="00114A26" w:rsidRPr="00114A26" w:rsidRDefault="00114A26" w:rsidP="00114A26">
            <w:pPr>
              <w:rPr>
                <w:b/>
              </w:rPr>
            </w:pPr>
            <w:r w:rsidRPr="00114A26">
              <w:rPr>
                <w:b/>
              </w:rPr>
              <w:lastRenderedPageBreak/>
              <w:t xml:space="preserve"> 2. Els objectius de la iniciativa.</w:t>
            </w:r>
          </w:p>
        </w:tc>
      </w:tr>
      <w:tr w:rsidR="00114A26" w:rsidRPr="00114A26" w:rsidTr="00016056">
        <w:trPr>
          <w:trHeight w:val="1332"/>
        </w:trPr>
        <w:tc>
          <w:tcPr>
            <w:tcW w:w="9210" w:type="dxa"/>
          </w:tcPr>
          <w:p w:rsidR="00D57A39" w:rsidRDefault="00D57A39" w:rsidP="00114A26">
            <w:r>
              <w:t>Millorar la qualitat de la formació que reben els alumnes i les alumnes.</w:t>
            </w:r>
          </w:p>
          <w:p w:rsidR="00114A26" w:rsidRPr="00114A26" w:rsidRDefault="00114A26" w:rsidP="00114A26">
            <w:r w:rsidRPr="00114A26">
              <w:t>Suprimir les habilitacions del professorat.</w:t>
            </w:r>
          </w:p>
          <w:p w:rsidR="00114A26" w:rsidRPr="00114A26" w:rsidRDefault="00D57A39" w:rsidP="00114A26">
            <w:r>
              <w:t>Garantir la coherència de la normativa vigent i la seguretat jurídica en la seva aplicació</w:t>
            </w:r>
            <w:r w:rsidR="00114A26" w:rsidRPr="00114A26">
              <w:t>.</w:t>
            </w:r>
          </w:p>
          <w:p w:rsidR="00114A26" w:rsidRPr="00114A26" w:rsidRDefault="00114A26" w:rsidP="00114A26">
            <w:pPr>
              <w:rPr>
                <w:i/>
              </w:rPr>
            </w:pPr>
          </w:p>
        </w:tc>
      </w:tr>
      <w:tr w:rsidR="00114A26" w:rsidRPr="00114A26" w:rsidTr="00016056">
        <w:tc>
          <w:tcPr>
            <w:tcW w:w="9210" w:type="dxa"/>
            <w:shd w:val="clear" w:color="auto" w:fill="DBE5F1" w:themeFill="accent1" w:themeFillTint="33"/>
          </w:tcPr>
          <w:p w:rsidR="00114A26" w:rsidRPr="00114A26" w:rsidRDefault="00114A26" w:rsidP="00114A26">
            <w:pPr>
              <w:rPr>
                <w:b/>
              </w:rPr>
            </w:pPr>
            <w:r w:rsidRPr="00114A26">
              <w:rPr>
                <w:b/>
              </w:rPr>
              <w:lastRenderedPageBreak/>
              <w:t>3. Les possibles solucions alternatives regulatòries i no regulatòries.</w:t>
            </w:r>
          </w:p>
        </w:tc>
      </w:tr>
      <w:tr w:rsidR="00114A26" w:rsidRPr="00114A26" w:rsidTr="00016056">
        <w:tc>
          <w:tcPr>
            <w:tcW w:w="9210" w:type="dxa"/>
          </w:tcPr>
          <w:p w:rsidR="00114A26" w:rsidRDefault="00114A26" w:rsidP="00A56FF9">
            <w:pPr>
              <w:spacing w:after="0" w:line="240" w:lineRule="auto"/>
            </w:pPr>
          </w:p>
          <w:p w:rsidR="00A56FF9" w:rsidRDefault="00A56FF9" w:rsidP="00A56FF9">
            <w:pPr>
              <w:spacing w:after="0" w:line="240" w:lineRule="auto"/>
            </w:pPr>
            <w:r>
              <w:t>a) L’instrument d’intervenció</w:t>
            </w:r>
          </w:p>
          <w:p w:rsidR="00A56FF9" w:rsidRPr="00114A26" w:rsidRDefault="00A56FF9" w:rsidP="00A56FF9">
            <w:pPr>
              <w:spacing w:after="0" w:line="240" w:lineRule="auto"/>
              <w:ind w:left="284"/>
            </w:pPr>
            <w:r>
              <w:t xml:space="preserve">S’opta per fer un decret ja que cal derogar un decret. La Llei </w:t>
            </w:r>
            <w:r w:rsidRPr="00A56FF9">
              <w:t>12/2009, del 10 de juliol, d'educació</w:t>
            </w:r>
            <w:r>
              <w:t>, a l’article</w:t>
            </w:r>
            <w:r w:rsidR="00301D1D">
              <w:t xml:space="preserve"> 53.1</w:t>
            </w:r>
            <w:r>
              <w:t xml:space="preserve"> preveu que el currículum s’estableix pel Govern.</w:t>
            </w:r>
          </w:p>
          <w:p w:rsidR="00114A26" w:rsidRDefault="00114A26" w:rsidP="00A56FF9">
            <w:pPr>
              <w:spacing w:after="0" w:line="240" w:lineRule="auto"/>
            </w:pPr>
          </w:p>
          <w:p w:rsidR="00A56FF9" w:rsidRDefault="00A56FF9" w:rsidP="00A56FF9">
            <w:pPr>
              <w:spacing w:after="0" w:line="240" w:lineRule="auto"/>
            </w:pPr>
          </w:p>
          <w:p w:rsidR="00A56FF9" w:rsidRDefault="00A56FF9" w:rsidP="00A56FF9">
            <w:pPr>
              <w:spacing w:after="0" w:line="240" w:lineRule="auto"/>
            </w:pPr>
            <w:r>
              <w:t>b) L’opció normativa preferida</w:t>
            </w:r>
          </w:p>
          <w:p w:rsidR="00D86237" w:rsidRDefault="00D86237" w:rsidP="00A56FF9">
            <w:pPr>
              <w:spacing w:after="0" w:line="240" w:lineRule="auto"/>
            </w:pPr>
          </w:p>
          <w:p w:rsidR="00D86237" w:rsidRDefault="00D86237" w:rsidP="004904B2">
            <w:pPr>
              <w:spacing w:after="0" w:line="240" w:lineRule="auto"/>
            </w:pPr>
            <w:r>
              <w:t>- Opció de “no fer res”. Aquesta opció comporta mantenir uns programes que no estan actualitzats</w:t>
            </w:r>
            <w:r w:rsidR="004904B2">
              <w:t xml:space="preserve"> d’acord </w:t>
            </w:r>
            <w:r>
              <w:t>a</w:t>
            </w:r>
            <w:r w:rsidR="004904B2">
              <w:t>mb</w:t>
            </w:r>
            <w:r>
              <w:t xml:space="preserve"> les noves exigències que demanden l’alumnat i les seves famílies</w:t>
            </w:r>
            <w:r w:rsidR="004904B2">
              <w:t>,</w:t>
            </w:r>
            <w:r>
              <w:t xml:space="preserve"> i un sistema d’accés del professorat que permet la docència per part de persones titulades i no titulades.</w:t>
            </w:r>
          </w:p>
          <w:p w:rsidR="00D86237" w:rsidRDefault="00D86237" w:rsidP="00D86237">
            <w:pPr>
              <w:spacing w:after="0" w:line="240" w:lineRule="auto"/>
            </w:pPr>
            <w:r>
              <w:t>- Opció proposada. Aquesta opció comporta incorporar als programes les innovacions que s’han produït en l’ensenyament de dansa i música els darrers anys. En aquest sentit, es pretén establir normes sobre els programes que han d’impartir les escoles i suprimir la possibilitat que s’habilitin professionals que no disposen de la titulació acadèmica exigible al professorat de música i dansa.</w:t>
            </w:r>
          </w:p>
          <w:p w:rsidR="00A56FF9" w:rsidRPr="00114A26" w:rsidRDefault="00A56FF9" w:rsidP="00A56FF9"/>
        </w:tc>
      </w:tr>
      <w:tr w:rsidR="00114A26" w:rsidRPr="00114A26" w:rsidTr="00016056">
        <w:tc>
          <w:tcPr>
            <w:tcW w:w="9210" w:type="dxa"/>
            <w:shd w:val="clear" w:color="auto" w:fill="DBE5F1" w:themeFill="accent1" w:themeFillTint="33"/>
          </w:tcPr>
          <w:p w:rsidR="00114A26" w:rsidRPr="00114A26" w:rsidRDefault="00114A26" w:rsidP="00114A26">
            <w:pPr>
              <w:rPr>
                <w:b/>
              </w:rPr>
            </w:pPr>
            <w:r w:rsidRPr="00114A26">
              <w:rPr>
                <w:b/>
              </w:rPr>
              <w:t>4. Necessitat i oportunitat de l’aprovació</w:t>
            </w:r>
            <w:r w:rsidRPr="00114A26">
              <w:t xml:space="preserve"> </w:t>
            </w:r>
            <w:r w:rsidRPr="00114A26">
              <w:rPr>
                <w:b/>
              </w:rPr>
              <w:t>de la norma.</w:t>
            </w:r>
          </w:p>
        </w:tc>
      </w:tr>
      <w:tr w:rsidR="00114A26" w:rsidRPr="00114A26" w:rsidTr="00016056">
        <w:tc>
          <w:tcPr>
            <w:tcW w:w="9210" w:type="dxa"/>
          </w:tcPr>
          <w:p w:rsidR="00114A26" w:rsidRPr="00114A26" w:rsidRDefault="00114A26" w:rsidP="00114A26">
            <w:r w:rsidRPr="00114A26">
              <w:t>En tractar-se d’una adaptació a la realitat actual l’impacte és limitat:</w:t>
            </w:r>
          </w:p>
          <w:p w:rsidR="00712BC6" w:rsidRDefault="00114A26" w:rsidP="004904B2">
            <w:r w:rsidRPr="00114A26">
              <w:t xml:space="preserve">a) Socialment. Es reconeix l’evolució del desenvolupament dels programes que han fet les pròpies escoles i es potencia l’increment de la qualitat d’aquesta formació. </w:t>
            </w:r>
            <w:r w:rsidR="00712BC6">
              <w:t xml:space="preserve">La supressió de l’habilitació respon al seu caràcter transitori i al nombre de </w:t>
            </w:r>
            <w:r w:rsidR="004904B2">
              <w:t>persones titulades que cada any</w:t>
            </w:r>
            <w:r w:rsidR="00712BC6">
              <w:t xml:space="preserve"> finalitzen els ensenyaments artístics superiors de música o de dansa</w:t>
            </w:r>
            <w:r w:rsidR="00932745">
              <w:t>.</w:t>
            </w:r>
            <w:r w:rsidR="00712BC6">
              <w:t xml:space="preserve"> </w:t>
            </w:r>
            <w:r w:rsidR="00932745">
              <w:t>E</w:t>
            </w:r>
            <w:r w:rsidR="004904B2">
              <w:t>l</w:t>
            </w:r>
            <w:r w:rsidR="00932745">
              <w:t xml:space="preserve"> nivell de titulació exigible és el mateix que en el </w:t>
            </w:r>
            <w:r w:rsidR="004904B2">
              <w:t>D</w:t>
            </w:r>
            <w:r w:rsidR="00932745">
              <w:t>ecret de 1993</w:t>
            </w:r>
            <w:r w:rsidR="000F3A67">
              <w:t>, no es modifica.</w:t>
            </w:r>
          </w:p>
          <w:p w:rsidR="00114A26" w:rsidRPr="00114A26" w:rsidRDefault="00114A26" w:rsidP="004904B2">
            <w:r w:rsidRPr="00114A26">
              <w:t>b) Per a l’</w:t>
            </w:r>
            <w:r w:rsidR="004904B2">
              <w:t>A</w:t>
            </w:r>
            <w:r w:rsidRPr="00114A26">
              <w:t>dministració pública, i pel que fa a la supressió de</w:t>
            </w:r>
            <w:r w:rsidR="00712BC6">
              <w:t>ls</w:t>
            </w:r>
            <w:r w:rsidRPr="00114A26">
              <w:t xml:space="preserve"> article</w:t>
            </w:r>
            <w:r w:rsidR="00712BC6">
              <w:t>s 2,</w:t>
            </w:r>
            <w:r w:rsidR="00932745">
              <w:t xml:space="preserve"> </w:t>
            </w:r>
            <w:r w:rsidR="00712BC6">
              <w:t>3,</w:t>
            </w:r>
            <w:r w:rsidR="00932745">
              <w:t xml:space="preserve"> </w:t>
            </w:r>
            <w:r w:rsidR="00712BC6">
              <w:t>4,</w:t>
            </w:r>
            <w:r w:rsidR="00932745">
              <w:t xml:space="preserve"> </w:t>
            </w:r>
            <w:r w:rsidR="00712BC6">
              <w:t>5,</w:t>
            </w:r>
            <w:r w:rsidRPr="00114A26">
              <w:t xml:space="preserve"> 7</w:t>
            </w:r>
            <w:r w:rsidR="00712BC6">
              <w:t xml:space="preserve"> i 12</w:t>
            </w:r>
            <w:r w:rsidRPr="00114A26">
              <w:t xml:space="preserve">, no té cap impacte doncs </w:t>
            </w:r>
            <w:r w:rsidR="00712BC6">
              <w:t>van ser derogats</w:t>
            </w:r>
            <w:r w:rsidRPr="00114A26">
              <w:t xml:space="preserve"> pel Decret 122/2012, de 9 d’octubre</w:t>
            </w:r>
            <w:r w:rsidR="00712BC6">
              <w:t>.</w:t>
            </w:r>
          </w:p>
          <w:p w:rsidR="00114A26" w:rsidRPr="00114A26" w:rsidRDefault="004904B2" w:rsidP="00114A26">
            <w:r>
              <w:t>c) Per a l’A</w:t>
            </w:r>
            <w:r w:rsidR="00114A26" w:rsidRPr="00114A26">
              <w:t xml:space="preserve">dministració pública, i pel que fa a la simplificació, la reducció de càrregues i la simplificació normativa, no té impacte. </w:t>
            </w:r>
            <w:r w:rsidR="000F3A67">
              <w:t>No es preveu mantenir la memòria d’activitats prevista a l’article 13 ni l’adscripció de les escoles a centres prevista a l’article 15.</w:t>
            </w:r>
          </w:p>
          <w:p w:rsidR="00273E6E" w:rsidRPr="00114A26" w:rsidRDefault="00186EF9" w:rsidP="00273E6E">
            <w:r>
              <w:t>L’opció normativa és la millor perquè é</w:t>
            </w:r>
            <w:r w:rsidR="00273E6E">
              <w:t>s l’única que pot modificar el D</w:t>
            </w:r>
            <w:r>
              <w:t>ecret vigent i perquè l</w:t>
            </w:r>
            <w:r w:rsidRPr="00186EF9">
              <w:t>a Llei 12/2009</w:t>
            </w:r>
            <w:r>
              <w:t xml:space="preserve"> exigeix un acte del Govern per a establir currículums.</w:t>
            </w:r>
          </w:p>
        </w:tc>
      </w:tr>
    </w:tbl>
    <w:p w:rsidR="003B2BCE" w:rsidRDefault="003B2BCE" w:rsidP="00C678AA"/>
    <w:sectPr w:rsidR="003B2BCE" w:rsidSect="00B7618E">
      <w:headerReference w:type="default" r:id="rId8"/>
      <w:pgSz w:w="11906" w:h="16838"/>
      <w:pgMar w:top="2410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44" w:rsidRDefault="009A0944">
      <w:pPr>
        <w:spacing w:after="0" w:line="240" w:lineRule="auto"/>
      </w:pPr>
      <w:r>
        <w:separator/>
      </w:r>
    </w:p>
  </w:endnote>
  <w:endnote w:type="continuationSeparator" w:id="0">
    <w:p w:rsidR="009A0944" w:rsidRDefault="009A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44" w:rsidRDefault="009A0944">
      <w:pPr>
        <w:spacing w:after="0" w:line="240" w:lineRule="auto"/>
      </w:pPr>
      <w:r>
        <w:separator/>
      </w:r>
    </w:p>
  </w:footnote>
  <w:footnote w:type="continuationSeparator" w:id="0">
    <w:p w:rsidR="009A0944" w:rsidRDefault="009A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115" w:rsidRDefault="006D75DC" w:rsidP="00084115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437"/>
    <w:multiLevelType w:val="hybridMultilevel"/>
    <w:tmpl w:val="577249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31188"/>
    <w:multiLevelType w:val="singleLevel"/>
    <w:tmpl w:val="987A2268"/>
    <w:lvl w:ilvl="0">
      <w:start w:val="1"/>
      <w:numFmt w:val="bullet"/>
      <w:pStyle w:val="Top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CC0FAE"/>
    <w:multiLevelType w:val="singleLevel"/>
    <w:tmpl w:val="874AAFB2"/>
    <w:lvl w:ilvl="0">
      <w:start w:val="1"/>
      <w:numFmt w:val="bullet"/>
      <w:pStyle w:val="TopoS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BC2265B"/>
    <w:multiLevelType w:val="hybridMultilevel"/>
    <w:tmpl w:val="E73A57EE"/>
    <w:lvl w:ilvl="0" w:tplc="727A2A58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106B66"/>
    <w:multiLevelType w:val="hybridMultilevel"/>
    <w:tmpl w:val="CD5CE37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82138"/>
    <w:multiLevelType w:val="hybridMultilevel"/>
    <w:tmpl w:val="E55A31F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B4948"/>
    <w:multiLevelType w:val="hybridMultilevel"/>
    <w:tmpl w:val="A7285618"/>
    <w:lvl w:ilvl="0" w:tplc="DCA669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12C37"/>
    <w:multiLevelType w:val="hybridMultilevel"/>
    <w:tmpl w:val="6C14DD44"/>
    <w:lvl w:ilvl="0" w:tplc="49C803A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2136F"/>
    <w:multiLevelType w:val="singleLevel"/>
    <w:tmpl w:val="7BF27364"/>
    <w:lvl w:ilvl="0">
      <w:start w:val="1"/>
      <w:numFmt w:val="bullet"/>
      <w:pStyle w:val="Topo1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4A777996"/>
    <w:multiLevelType w:val="hybridMultilevel"/>
    <w:tmpl w:val="C95A1A5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B4748"/>
    <w:multiLevelType w:val="hybridMultilevel"/>
    <w:tmpl w:val="A3B28B7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254DB"/>
    <w:multiLevelType w:val="hybridMultilevel"/>
    <w:tmpl w:val="206083CE"/>
    <w:lvl w:ilvl="0" w:tplc="62A4AA2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25B14"/>
    <w:multiLevelType w:val="singleLevel"/>
    <w:tmpl w:val="8B78E234"/>
    <w:lvl w:ilvl="0">
      <w:numFmt w:val="bullet"/>
      <w:pStyle w:val="Gui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3">
    <w:nsid w:val="5A412DEF"/>
    <w:multiLevelType w:val="hybridMultilevel"/>
    <w:tmpl w:val="91F2860C"/>
    <w:lvl w:ilvl="0" w:tplc="1D8848F4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4E363A"/>
    <w:multiLevelType w:val="hybridMultilevel"/>
    <w:tmpl w:val="2C9A9F98"/>
    <w:lvl w:ilvl="0" w:tplc="7D80FF0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C30AB"/>
    <w:multiLevelType w:val="singleLevel"/>
    <w:tmpl w:val="462A4870"/>
    <w:lvl w:ilvl="0">
      <w:start w:val="1"/>
      <w:numFmt w:val="bullet"/>
      <w:pStyle w:val="TopoNo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7CD374BB"/>
    <w:multiLevelType w:val="hybridMultilevel"/>
    <w:tmpl w:val="D532552C"/>
    <w:lvl w:ilvl="0" w:tplc="62A4AA2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5"/>
  </w:num>
  <w:num w:numId="5">
    <w:abstractNumId w:val="2"/>
  </w:num>
  <w:num w:numId="6">
    <w:abstractNumId w:val="14"/>
  </w:num>
  <w:num w:numId="7">
    <w:abstractNumId w:val="3"/>
  </w:num>
  <w:num w:numId="8">
    <w:abstractNumId w:val="5"/>
  </w:num>
  <w:num w:numId="9">
    <w:abstractNumId w:val="13"/>
  </w:num>
  <w:num w:numId="10">
    <w:abstractNumId w:val="4"/>
  </w:num>
  <w:num w:numId="11">
    <w:abstractNumId w:val="7"/>
  </w:num>
  <w:num w:numId="12">
    <w:abstractNumId w:val="6"/>
  </w:num>
  <w:num w:numId="13">
    <w:abstractNumId w:val="16"/>
  </w:num>
  <w:num w:numId="14">
    <w:abstractNumId w:val="11"/>
  </w:num>
  <w:num w:numId="15">
    <w:abstractNumId w:val="0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4D"/>
    <w:rsid w:val="0001073D"/>
    <w:rsid w:val="00015D60"/>
    <w:rsid w:val="000222BC"/>
    <w:rsid w:val="000253D9"/>
    <w:rsid w:val="000332B4"/>
    <w:rsid w:val="00073892"/>
    <w:rsid w:val="000A1A37"/>
    <w:rsid w:val="000A6D37"/>
    <w:rsid w:val="000B0525"/>
    <w:rsid w:val="000C1CA0"/>
    <w:rsid w:val="000D10A1"/>
    <w:rsid w:val="000D661F"/>
    <w:rsid w:val="000E62D7"/>
    <w:rsid w:val="000F3A67"/>
    <w:rsid w:val="00114A26"/>
    <w:rsid w:val="0012590B"/>
    <w:rsid w:val="00186EF9"/>
    <w:rsid w:val="001A110B"/>
    <w:rsid w:val="001C68DB"/>
    <w:rsid w:val="001D5971"/>
    <w:rsid w:val="001F1C82"/>
    <w:rsid w:val="002048B3"/>
    <w:rsid w:val="00215410"/>
    <w:rsid w:val="00224890"/>
    <w:rsid w:val="00266169"/>
    <w:rsid w:val="00273E6E"/>
    <w:rsid w:val="00274091"/>
    <w:rsid w:val="0028021C"/>
    <w:rsid w:val="002E25B5"/>
    <w:rsid w:val="002E7AC1"/>
    <w:rsid w:val="003017FC"/>
    <w:rsid w:val="00301D1D"/>
    <w:rsid w:val="0030741B"/>
    <w:rsid w:val="003104A3"/>
    <w:rsid w:val="0037762D"/>
    <w:rsid w:val="00391D5E"/>
    <w:rsid w:val="003B2BCE"/>
    <w:rsid w:val="003C082A"/>
    <w:rsid w:val="00414804"/>
    <w:rsid w:val="0044478F"/>
    <w:rsid w:val="00451139"/>
    <w:rsid w:val="004535B6"/>
    <w:rsid w:val="004904B2"/>
    <w:rsid w:val="004D6892"/>
    <w:rsid w:val="004E07E8"/>
    <w:rsid w:val="0055142C"/>
    <w:rsid w:val="005801F8"/>
    <w:rsid w:val="00621F99"/>
    <w:rsid w:val="006729CC"/>
    <w:rsid w:val="006A1078"/>
    <w:rsid w:val="006B393C"/>
    <w:rsid w:val="006C278C"/>
    <w:rsid w:val="006C52CD"/>
    <w:rsid w:val="006D5643"/>
    <w:rsid w:val="006D75DC"/>
    <w:rsid w:val="006F433B"/>
    <w:rsid w:val="00700472"/>
    <w:rsid w:val="00712BC6"/>
    <w:rsid w:val="00725AC6"/>
    <w:rsid w:val="0078733C"/>
    <w:rsid w:val="00787FF1"/>
    <w:rsid w:val="0084660A"/>
    <w:rsid w:val="00853E64"/>
    <w:rsid w:val="00871C2E"/>
    <w:rsid w:val="00876558"/>
    <w:rsid w:val="00877760"/>
    <w:rsid w:val="00880718"/>
    <w:rsid w:val="0088291B"/>
    <w:rsid w:val="008B0C4D"/>
    <w:rsid w:val="008B7E50"/>
    <w:rsid w:val="008F2C02"/>
    <w:rsid w:val="00911C30"/>
    <w:rsid w:val="00920657"/>
    <w:rsid w:val="00932745"/>
    <w:rsid w:val="0095577F"/>
    <w:rsid w:val="00972446"/>
    <w:rsid w:val="00977AF1"/>
    <w:rsid w:val="00986569"/>
    <w:rsid w:val="009876E9"/>
    <w:rsid w:val="00991225"/>
    <w:rsid w:val="009929E5"/>
    <w:rsid w:val="009A0944"/>
    <w:rsid w:val="009B47FD"/>
    <w:rsid w:val="009D0E2A"/>
    <w:rsid w:val="009D6CC6"/>
    <w:rsid w:val="00A130A3"/>
    <w:rsid w:val="00A21125"/>
    <w:rsid w:val="00A35BA8"/>
    <w:rsid w:val="00A546F3"/>
    <w:rsid w:val="00A56FF9"/>
    <w:rsid w:val="00A606CC"/>
    <w:rsid w:val="00A7339C"/>
    <w:rsid w:val="00B61144"/>
    <w:rsid w:val="00B660C4"/>
    <w:rsid w:val="00B7618E"/>
    <w:rsid w:val="00BA4E57"/>
    <w:rsid w:val="00BA71EA"/>
    <w:rsid w:val="00BF742D"/>
    <w:rsid w:val="00C02C96"/>
    <w:rsid w:val="00C17D1C"/>
    <w:rsid w:val="00C43D8A"/>
    <w:rsid w:val="00C62668"/>
    <w:rsid w:val="00C678AA"/>
    <w:rsid w:val="00C85B89"/>
    <w:rsid w:val="00D57A39"/>
    <w:rsid w:val="00D76048"/>
    <w:rsid w:val="00D86237"/>
    <w:rsid w:val="00DC1F74"/>
    <w:rsid w:val="00DD3DC8"/>
    <w:rsid w:val="00DD6161"/>
    <w:rsid w:val="00DD62DB"/>
    <w:rsid w:val="00DE70EB"/>
    <w:rsid w:val="00E07DA4"/>
    <w:rsid w:val="00E251DD"/>
    <w:rsid w:val="00E3614C"/>
    <w:rsid w:val="00EC29B1"/>
    <w:rsid w:val="00F01D51"/>
    <w:rsid w:val="00F5314B"/>
    <w:rsid w:val="00F66234"/>
    <w:rsid w:val="00F6743B"/>
    <w:rsid w:val="00F92974"/>
    <w:rsid w:val="00FA2C66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ca-ES" w:eastAsia="ca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C"/>
  </w:style>
  <w:style w:type="paragraph" w:styleId="Ttol1">
    <w:name w:val="heading 1"/>
    <w:basedOn w:val="Normal"/>
    <w:next w:val="Normal"/>
    <w:qFormat/>
    <w:rsid w:val="006D5643"/>
    <w:pPr>
      <w:keepNext/>
      <w:pBdr>
        <w:bottom w:val="single" w:sz="2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Ttol2">
    <w:name w:val="heading 2"/>
    <w:basedOn w:val="Normal"/>
    <w:next w:val="Normal"/>
    <w:qFormat/>
    <w:rsid w:val="006D5643"/>
    <w:pPr>
      <w:keepNext/>
      <w:spacing w:before="240" w:after="60"/>
      <w:outlineLvl w:val="1"/>
    </w:pPr>
    <w:rPr>
      <w:rFonts w:ascii="Helv" w:hAnsi="Helv"/>
      <w:b/>
      <w:i/>
      <w:sz w:val="24"/>
      <w:u w:val="single"/>
    </w:rPr>
  </w:style>
  <w:style w:type="paragraph" w:styleId="Ttol3">
    <w:name w:val="heading 3"/>
    <w:basedOn w:val="Normal"/>
    <w:next w:val="Normal"/>
    <w:qFormat/>
    <w:rsid w:val="006D5643"/>
    <w:pPr>
      <w:keepNext/>
      <w:spacing w:before="240" w:after="60"/>
      <w:outlineLvl w:val="2"/>
    </w:pPr>
    <w:rPr>
      <w:u w:val="singl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Gui">
    <w:name w:val="Guió"/>
    <w:basedOn w:val="Normal"/>
    <w:pPr>
      <w:numPr>
        <w:numId w:val="1"/>
      </w:numPr>
      <w:spacing w:line="360" w:lineRule="auto"/>
      <w:ind w:left="1037" w:hanging="357"/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  <w:rPr>
      <w:sz w:val="16"/>
    </w:rPr>
  </w:style>
  <w:style w:type="paragraph" w:customStyle="1" w:styleId="Topo">
    <w:name w:val="Topo"/>
    <w:basedOn w:val="Normal"/>
    <w:pPr>
      <w:numPr>
        <w:numId w:val="2"/>
      </w:numPr>
      <w:spacing w:line="360" w:lineRule="auto"/>
    </w:pPr>
  </w:style>
  <w:style w:type="paragraph" w:customStyle="1" w:styleId="Topo1">
    <w:name w:val="Topo 1"/>
    <w:basedOn w:val="Normal"/>
    <w:pPr>
      <w:numPr>
        <w:numId w:val="3"/>
      </w:numPr>
      <w:spacing w:line="360" w:lineRule="auto"/>
      <w:ind w:left="624" w:hanging="284"/>
    </w:pPr>
  </w:style>
  <w:style w:type="paragraph" w:customStyle="1" w:styleId="TopoNo">
    <w:name w:val="Topo No"/>
    <w:basedOn w:val="Normal"/>
    <w:pPr>
      <w:numPr>
        <w:numId w:val="4"/>
      </w:numPr>
      <w:spacing w:line="480" w:lineRule="auto"/>
    </w:pPr>
  </w:style>
  <w:style w:type="paragraph" w:customStyle="1" w:styleId="TopoS">
    <w:name w:val="Topo Sí"/>
    <w:basedOn w:val="Normal"/>
    <w:pPr>
      <w:numPr>
        <w:numId w:val="5"/>
      </w:numPr>
      <w:spacing w:line="480" w:lineRule="auto"/>
      <w:ind w:left="357" w:hanging="357"/>
    </w:pPr>
  </w:style>
  <w:style w:type="character" w:styleId="mfasi">
    <w:name w:val="Emphasis"/>
    <w:basedOn w:val="Tipusdelletraperdefectedelpargraf"/>
    <w:qFormat/>
    <w:rsid w:val="006D5643"/>
    <w:rPr>
      <w:i/>
      <w:iCs/>
    </w:rPr>
  </w:style>
  <w:style w:type="table" w:customStyle="1" w:styleId="Taulaambquadrcula1">
    <w:name w:val="Taula amb quadrícula1"/>
    <w:basedOn w:val="Taulanormal"/>
    <w:next w:val="Taulaambquadrcula"/>
    <w:uiPriority w:val="59"/>
    <w:rsid w:val="008B0C4D"/>
    <w:pPr>
      <w:spacing w:after="0"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quadrcula">
    <w:name w:val="Table Grid"/>
    <w:basedOn w:val="Taulanormal"/>
    <w:rsid w:val="008B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1">
    <w:name w:val="Taula amb quadrícula11"/>
    <w:basedOn w:val="Taulanormal"/>
    <w:next w:val="Taulaambquadrcula"/>
    <w:uiPriority w:val="59"/>
    <w:rsid w:val="009929E5"/>
    <w:pPr>
      <w:spacing w:after="0"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877760"/>
    <w:pPr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Textdeglobus">
    <w:name w:val="Balloon Text"/>
    <w:basedOn w:val="Normal"/>
    <w:link w:val="TextdeglobusCar"/>
    <w:semiHidden/>
    <w:unhideWhenUsed/>
    <w:rsid w:val="006F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semiHidden/>
    <w:rsid w:val="006F433B"/>
    <w:rPr>
      <w:rFonts w:ascii="Segoe UI" w:hAnsi="Segoe UI" w:cs="Segoe UI"/>
      <w:sz w:val="18"/>
      <w:szCs w:val="18"/>
    </w:rPr>
  </w:style>
  <w:style w:type="character" w:customStyle="1" w:styleId="PeuCar">
    <w:name w:val="Peu Car"/>
    <w:basedOn w:val="Tipusdelletraperdefectedelpargraf"/>
    <w:link w:val="Peu"/>
    <w:uiPriority w:val="99"/>
    <w:rsid w:val="00DD62DB"/>
    <w:rPr>
      <w:sz w:val="16"/>
    </w:rPr>
  </w:style>
  <w:style w:type="paragraph" w:customStyle="1" w:styleId="Default">
    <w:name w:val="Default"/>
    <w:rsid w:val="0001073D"/>
    <w:pPr>
      <w:autoSpaceDE w:val="0"/>
      <w:autoSpaceDN w:val="0"/>
      <w:adjustRightInd w:val="0"/>
      <w:spacing w:after="0" w:line="240" w:lineRule="auto"/>
      <w:jc w:val="left"/>
    </w:pPr>
    <w:rPr>
      <w:color w:val="000000"/>
      <w:sz w:val="24"/>
      <w:szCs w:val="24"/>
    </w:rPr>
  </w:style>
  <w:style w:type="table" w:customStyle="1" w:styleId="Taulaambquadrcula12">
    <w:name w:val="Taula amb quadrícula12"/>
    <w:basedOn w:val="Taulanormal"/>
    <w:next w:val="Taulaambquadrcula"/>
    <w:uiPriority w:val="59"/>
    <w:rsid w:val="00C02C96"/>
    <w:pPr>
      <w:spacing w:after="0"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ca-ES" w:eastAsia="ca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C"/>
  </w:style>
  <w:style w:type="paragraph" w:styleId="Ttol1">
    <w:name w:val="heading 1"/>
    <w:basedOn w:val="Normal"/>
    <w:next w:val="Normal"/>
    <w:qFormat/>
    <w:rsid w:val="006D5643"/>
    <w:pPr>
      <w:keepNext/>
      <w:pBdr>
        <w:bottom w:val="single" w:sz="2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Ttol2">
    <w:name w:val="heading 2"/>
    <w:basedOn w:val="Normal"/>
    <w:next w:val="Normal"/>
    <w:qFormat/>
    <w:rsid w:val="006D5643"/>
    <w:pPr>
      <w:keepNext/>
      <w:spacing w:before="240" w:after="60"/>
      <w:outlineLvl w:val="1"/>
    </w:pPr>
    <w:rPr>
      <w:rFonts w:ascii="Helv" w:hAnsi="Helv"/>
      <w:b/>
      <w:i/>
      <w:sz w:val="24"/>
      <w:u w:val="single"/>
    </w:rPr>
  </w:style>
  <w:style w:type="paragraph" w:styleId="Ttol3">
    <w:name w:val="heading 3"/>
    <w:basedOn w:val="Normal"/>
    <w:next w:val="Normal"/>
    <w:qFormat/>
    <w:rsid w:val="006D5643"/>
    <w:pPr>
      <w:keepNext/>
      <w:spacing w:before="240" w:after="60"/>
      <w:outlineLvl w:val="2"/>
    </w:pPr>
    <w:rPr>
      <w:u w:val="singl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Gui">
    <w:name w:val="Guió"/>
    <w:basedOn w:val="Normal"/>
    <w:pPr>
      <w:numPr>
        <w:numId w:val="1"/>
      </w:numPr>
      <w:spacing w:line="360" w:lineRule="auto"/>
      <w:ind w:left="1037" w:hanging="357"/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  <w:rPr>
      <w:sz w:val="16"/>
    </w:rPr>
  </w:style>
  <w:style w:type="paragraph" w:customStyle="1" w:styleId="Topo">
    <w:name w:val="Topo"/>
    <w:basedOn w:val="Normal"/>
    <w:pPr>
      <w:numPr>
        <w:numId w:val="2"/>
      </w:numPr>
      <w:spacing w:line="360" w:lineRule="auto"/>
    </w:pPr>
  </w:style>
  <w:style w:type="paragraph" w:customStyle="1" w:styleId="Topo1">
    <w:name w:val="Topo 1"/>
    <w:basedOn w:val="Normal"/>
    <w:pPr>
      <w:numPr>
        <w:numId w:val="3"/>
      </w:numPr>
      <w:spacing w:line="360" w:lineRule="auto"/>
      <w:ind w:left="624" w:hanging="284"/>
    </w:pPr>
  </w:style>
  <w:style w:type="paragraph" w:customStyle="1" w:styleId="TopoNo">
    <w:name w:val="Topo No"/>
    <w:basedOn w:val="Normal"/>
    <w:pPr>
      <w:numPr>
        <w:numId w:val="4"/>
      </w:numPr>
      <w:spacing w:line="480" w:lineRule="auto"/>
    </w:pPr>
  </w:style>
  <w:style w:type="paragraph" w:customStyle="1" w:styleId="TopoS">
    <w:name w:val="Topo Sí"/>
    <w:basedOn w:val="Normal"/>
    <w:pPr>
      <w:numPr>
        <w:numId w:val="5"/>
      </w:numPr>
      <w:spacing w:line="480" w:lineRule="auto"/>
      <w:ind w:left="357" w:hanging="357"/>
    </w:pPr>
  </w:style>
  <w:style w:type="character" w:styleId="mfasi">
    <w:name w:val="Emphasis"/>
    <w:basedOn w:val="Tipusdelletraperdefectedelpargraf"/>
    <w:qFormat/>
    <w:rsid w:val="006D5643"/>
    <w:rPr>
      <w:i/>
      <w:iCs/>
    </w:rPr>
  </w:style>
  <w:style w:type="table" w:customStyle="1" w:styleId="Taulaambquadrcula1">
    <w:name w:val="Taula amb quadrícula1"/>
    <w:basedOn w:val="Taulanormal"/>
    <w:next w:val="Taulaambquadrcula"/>
    <w:uiPriority w:val="59"/>
    <w:rsid w:val="008B0C4D"/>
    <w:pPr>
      <w:spacing w:after="0"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quadrcula">
    <w:name w:val="Table Grid"/>
    <w:basedOn w:val="Taulanormal"/>
    <w:rsid w:val="008B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1">
    <w:name w:val="Taula amb quadrícula11"/>
    <w:basedOn w:val="Taulanormal"/>
    <w:next w:val="Taulaambquadrcula"/>
    <w:uiPriority w:val="59"/>
    <w:rsid w:val="009929E5"/>
    <w:pPr>
      <w:spacing w:after="0"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877760"/>
    <w:pPr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Textdeglobus">
    <w:name w:val="Balloon Text"/>
    <w:basedOn w:val="Normal"/>
    <w:link w:val="TextdeglobusCar"/>
    <w:semiHidden/>
    <w:unhideWhenUsed/>
    <w:rsid w:val="006F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semiHidden/>
    <w:rsid w:val="006F433B"/>
    <w:rPr>
      <w:rFonts w:ascii="Segoe UI" w:hAnsi="Segoe UI" w:cs="Segoe UI"/>
      <w:sz w:val="18"/>
      <w:szCs w:val="18"/>
    </w:rPr>
  </w:style>
  <w:style w:type="character" w:customStyle="1" w:styleId="PeuCar">
    <w:name w:val="Peu Car"/>
    <w:basedOn w:val="Tipusdelletraperdefectedelpargraf"/>
    <w:link w:val="Peu"/>
    <w:uiPriority w:val="99"/>
    <w:rsid w:val="00DD62DB"/>
    <w:rPr>
      <w:sz w:val="16"/>
    </w:rPr>
  </w:style>
  <w:style w:type="paragraph" w:customStyle="1" w:styleId="Default">
    <w:name w:val="Default"/>
    <w:rsid w:val="0001073D"/>
    <w:pPr>
      <w:autoSpaceDE w:val="0"/>
      <w:autoSpaceDN w:val="0"/>
      <w:adjustRightInd w:val="0"/>
      <w:spacing w:after="0" w:line="240" w:lineRule="auto"/>
      <w:jc w:val="left"/>
    </w:pPr>
    <w:rPr>
      <w:color w:val="000000"/>
      <w:sz w:val="24"/>
      <w:szCs w:val="24"/>
    </w:rPr>
  </w:style>
  <w:style w:type="table" w:customStyle="1" w:styleId="Taulaambquadrcula12">
    <w:name w:val="Taula amb quadrícula12"/>
    <w:basedOn w:val="Taulanormal"/>
    <w:next w:val="Taulaambquadrcula"/>
    <w:uiPriority w:val="59"/>
    <w:rsid w:val="00C02C96"/>
    <w:pPr>
      <w:spacing w:after="0"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892</Words>
  <Characters>4848</Characters>
  <Application>Microsoft Office Word</Application>
  <DocSecurity>4</DocSecurity>
  <Lines>40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 Puigmulé Recasens</dc:creator>
  <cp:lastModifiedBy>System User</cp:lastModifiedBy>
  <cp:revision>2</cp:revision>
  <cp:lastPrinted>2018-07-09T10:18:00Z</cp:lastPrinted>
  <dcterms:created xsi:type="dcterms:W3CDTF">2018-11-08T07:59:00Z</dcterms:created>
  <dcterms:modified xsi:type="dcterms:W3CDTF">2018-11-08T07:59:00Z</dcterms:modified>
</cp:coreProperties>
</file>