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D3" w:rsidRPr="00F81320" w:rsidRDefault="00801242" w:rsidP="00737503">
      <w:pPr>
        <w:shd w:val="clear" w:color="auto" w:fill="1F497D" w:themeFill="text2"/>
        <w:jc w:val="center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>Aportacions de l’Associació Catalana de Municipis i Comarques a l’Avantprojecte de llei d’emergències</w:t>
      </w:r>
    </w:p>
    <w:p w:rsidR="00801242" w:rsidRDefault="00801242" w:rsidP="00945C3B">
      <w:pPr>
        <w:pBdr>
          <w:bottom w:val="single" w:sz="4" w:space="1" w:color="1F497D" w:themeColor="text2"/>
        </w:pBdr>
        <w:jc w:val="both"/>
        <w:rPr>
          <w:color w:val="1F497D" w:themeColor="text2"/>
          <w:sz w:val="24"/>
          <w:lang w:val="en-US"/>
        </w:rPr>
      </w:pPr>
    </w:p>
    <w:p w:rsidR="00737503" w:rsidRPr="00CA5721" w:rsidRDefault="00801242" w:rsidP="00945C3B">
      <w:pPr>
        <w:pBdr>
          <w:bottom w:val="single" w:sz="4" w:space="1" w:color="1F497D" w:themeColor="text2"/>
        </w:pBdr>
        <w:jc w:val="both"/>
        <w:rPr>
          <w:color w:val="1F497D" w:themeColor="text2"/>
          <w:sz w:val="24"/>
          <w:lang w:val="en-US"/>
        </w:rPr>
      </w:pPr>
      <w:r>
        <w:rPr>
          <w:color w:val="1F497D" w:themeColor="text2"/>
          <w:sz w:val="24"/>
          <w:lang w:val="en-US"/>
        </w:rPr>
        <w:t>Aportacions</w:t>
      </w:r>
    </w:p>
    <w:p w:rsidR="00F81320" w:rsidRPr="00870F82" w:rsidRDefault="00F81320" w:rsidP="00F81320">
      <w:pPr>
        <w:jc w:val="both"/>
        <w:rPr>
          <w:rFonts w:ascii="Calibri" w:eastAsia="Times New Roman" w:hAnsi="Calibri" w:cs="Times New Roman"/>
          <w:b/>
          <w:sz w:val="24"/>
          <w:szCs w:val="24"/>
          <w:lang w:eastAsia="ca-ES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a-ES"/>
        </w:rPr>
        <w:t xml:space="preserve">1.- </w:t>
      </w:r>
      <w:r w:rsidRPr="00870F82">
        <w:rPr>
          <w:rFonts w:ascii="Calibri" w:eastAsia="Times New Roman" w:hAnsi="Calibri" w:cs="Times New Roman"/>
          <w:b/>
          <w:sz w:val="24"/>
          <w:szCs w:val="24"/>
          <w:lang w:eastAsia="ca-ES"/>
        </w:rPr>
        <w:t>Considera que s’ha descrit adequadament l’objectiu de la iniciativa ?</w:t>
      </w:r>
    </w:p>
    <w:p w:rsidR="00F81320" w:rsidRDefault="00F81320" w:rsidP="00F81320">
      <w:pPr>
        <w:jc w:val="both"/>
        <w:rPr>
          <w:rFonts w:ascii="Calibri" w:eastAsia="Times New Roman" w:hAnsi="Calibri" w:cs="Times New Roman"/>
          <w:sz w:val="24"/>
          <w:szCs w:val="24"/>
          <w:lang w:eastAsia="ca-ES"/>
        </w:rPr>
      </w:pPr>
      <w:r w:rsidRPr="00870F82">
        <w:rPr>
          <w:rFonts w:ascii="Calibri" w:eastAsia="Times New Roman" w:hAnsi="Calibri" w:cs="Times New Roman"/>
          <w:sz w:val="24"/>
          <w:szCs w:val="24"/>
          <w:lang w:eastAsia="ca-ES"/>
        </w:rPr>
        <w:t xml:space="preserve">Sí, cal destacar que bona part de la normativa vigent en matèria d’emergències es prèvia a l’aprovació de l’EAC de 2006 i es fonamenta en una dispersió legislativa de diferents normatives sectorials. Per lo tant, el marc institucional i normatiu s’ha d’adaptar. </w:t>
      </w:r>
    </w:p>
    <w:p w:rsidR="00F81320" w:rsidRPr="00870F82" w:rsidRDefault="00F81320" w:rsidP="00F81320">
      <w:pPr>
        <w:jc w:val="both"/>
        <w:rPr>
          <w:rFonts w:ascii="Calibri" w:eastAsia="Times New Roman" w:hAnsi="Calibri" w:cs="Times New Roman"/>
          <w:b/>
          <w:sz w:val="24"/>
          <w:szCs w:val="24"/>
          <w:lang w:eastAsia="ca-E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4"/>
          <w:lang w:eastAsia="ca-ES"/>
        </w:rPr>
        <w:t xml:space="preserve">2.- </w:t>
      </w:r>
      <w:r w:rsidRPr="00870F82">
        <w:rPr>
          <w:rFonts w:ascii="Calibri" w:eastAsia="Times New Roman" w:hAnsi="Calibri" w:cs="Times New Roman"/>
          <w:b/>
          <w:sz w:val="24"/>
          <w:szCs w:val="24"/>
          <w:lang w:eastAsia="ca-ES"/>
        </w:rPr>
        <w:t>Quin objectius creu que s’haurien de preveure diferents als proposats?</w:t>
      </w:r>
    </w:p>
    <w:p w:rsidR="00F81320" w:rsidRPr="000C6D18" w:rsidRDefault="00F81320" w:rsidP="00F81320">
      <w:pPr>
        <w:jc w:val="both"/>
        <w:rPr>
          <w:rFonts w:ascii="Calibri" w:eastAsia="Times New Roman" w:hAnsi="Calibri" w:cs="Times New Roman"/>
          <w:sz w:val="24"/>
          <w:szCs w:val="24"/>
          <w:lang w:eastAsia="ca-ES"/>
        </w:rPr>
      </w:pP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 xml:space="preserve">Des de l’ACM valorem que és millor l’elaboració d’una única Llei que reguli tot el sistema d’Emergències de Catalunya que la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dispersió legislativa actual o la </w:t>
      </w: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 xml:space="preserve">reforma parcial dels diferents textos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>e</w:t>
      </w: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>n matèria de protecció civil d’una banda, de prevenció i extinció d’incendis i salvaments, i del centre d’emergències 112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 vigents. Igualment creiem que caldria treballar amb lògica d’articulació de sistema</w:t>
      </w: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 xml:space="preserve"> respecte a la seguretat i a la policia de Catalunya.</w:t>
      </w:r>
    </w:p>
    <w:p w:rsidR="00F81320" w:rsidRPr="00870F82" w:rsidRDefault="00F81320" w:rsidP="00F81320">
      <w:pPr>
        <w:jc w:val="both"/>
        <w:rPr>
          <w:rFonts w:ascii="Calibri" w:eastAsia="Times New Roman" w:hAnsi="Calibri" w:cs="Times New Roman"/>
          <w:b/>
          <w:sz w:val="24"/>
          <w:szCs w:val="24"/>
          <w:lang w:eastAsia="ca-ES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ca-ES"/>
        </w:rPr>
        <w:t xml:space="preserve">3.- </w:t>
      </w:r>
      <w:r w:rsidRPr="00870F82">
        <w:rPr>
          <w:rFonts w:ascii="Calibri" w:eastAsia="Times New Roman" w:hAnsi="Calibri" w:cs="Times New Roman"/>
          <w:b/>
          <w:sz w:val="24"/>
          <w:szCs w:val="24"/>
          <w:lang w:eastAsia="ca-ES"/>
        </w:rPr>
        <w:t>Quines mesures relacionades amb les emergències caldria implementar?</w:t>
      </w:r>
    </w:p>
    <w:p w:rsidR="00F81320" w:rsidRPr="000C6D18" w:rsidRDefault="00F81320" w:rsidP="00F81320">
      <w:pPr>
        <w:jc w:val="both"/>
        <w:rPr>
          <w:rFonts w:ascii="Calibri" w:eastAsia="Times New Roman" w:hAnsi="Calibri" w:cs="Times New Roman"/>
          <w:sz w:val="24"/>
          <w:szCs w:val="24"/>
          <w:lang w:eastAsia="ca-ES"/>
        </w:rPr>
      </w:pP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>Cal articular un marc operatiu i de gestió que pugui preveure la relació d’agents implicats en les crisis d’emergències, tan públics com privats i en el cas de les Administracions Locals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 respecte a la Generalitat. I potser podria aprofitar-se l’oportunitat per regular el marc normatiu d’altres sectors com el salvament i el socorrisme i l’aportació dels bombers voluntaris, les ADFs o els voluntaris civils. </w:t>
      </w:r>
    </w:p>
    <w:p w:rsidR="00F81320" w:rsidRDefault="00F81320" w:rsidP="00F81320">
      <w:pPr>
        <w:jc w:val="both"/>
        <w:rPr>
          <w:rFonts w:ascii="Calibri" w:eastAsia="Times New Roman" w:hAnsi="Calibri" w:cs="Times New Roman"/>
          <w:b/>
          <w:sz w:val="24"/>
          <w:szCs w:val="24"/>
          <w:lang w:eastAsia="ca-ES"/>
        </w:rPr>
      </w:pPr>
      <w:r w:rsidRPr="000C6D18">
        <w:rPr>
          <w:rFonts w:ascii="Calibri" w:eastAsia="Times New Roman" w:hAnsi="Calibri" w:cs="Times New Roman"/>
          <w:b/>
          <w:sz w:val="24"/>
          <w:szCs w:val="24"/>
          <w:lang w:eastAsia="ca-ES"/>
        </w:rPr>
        <w:t>4.</w:t>
      </w:r>
      <w:r>
        <w:rPr>
          <w:rFonts w:ascii="Calibri" w:eastAsia="Times New Roman" w:hAnsi="Calibri" w:cs="Times New Roman"/>
          <w:b/>
          <w:sz w:val="24"/>
          <w:szCs w:val="24"/>
          <w:lang w:eastAsia="ca-ES"/>
        </w:rPr>
        <w:t xml:space="preserve">- </w:t>
      </w:r>
      <w:r w:rsidRPr="000C6D18">
        <w:rPr>
          <w:rFonts w:ascii="Calibri" w:eastAsia="Times New Roman" w:hAnsi="Calibri" w:cs="Times New Roman"/>
          <w:b/>
          <w:sz w:val="24"/>
          <w:szCs w:val="24"/>
          <w:lang w:eastAsia="ca-ES"/>
        </w:rPr>
        <w:t>Quins tipus d’actuacions serien les més efectives per regular un sistema global de les emergències a Catalunya?</w:t>
      </w:r>
    </w:p>
    <w:p w:rsidR="00F81320" w:rsidRDefault="00F81320" w:rsidP="00F81320">
      <w:pPr>
        <w:jc w:val="both"/>
        <w:rPr>
          <w:rFonts w:ascii="Calibri" w:eastAsia="Times New Roman" w:hAnsi="Calibri" w:cs="Times New Roman"/>
          <w:sz w:val="24"/>
          <w:szCs w:val="24"/>
          <w:lang w:eastAsia="ca-ES"/>
        </w:rPr>
      </w:pP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>I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>ntegrar el 112 en l’estructura de la DG de Protecció Civil amb el departament d’Interior i</w:t>
      </w: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 xml:space="preserve"> que els governs locals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es </w:t>
      </w: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>puguin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 articular millor en el sistema d’emergències. </w:t>
      </w: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 xml:space="preserve"> </w:t>
      </w:r>
    </w:p>
    <w:p w:rsidR="00F81320" w:rsidRDefault="00F81320" w:rsidP="00F81320">
      <w:pPr>
        <w:jc w:val="both"/>
        <w:rPr>
          <w:rFonts w:ascii="Calibri" w:eastAsia="Times New Roman" w:hAnsi="Calibri" w:cs="Times New Roman"/>
          <w:b/>
          <w:sz w:val="24"/>
          <w:szCs w:val="24"/>
          <w:lang w:eastAsia="ca-ES"/>
        </w:rPr>
      </w:pPr>
      <w:r w:rsidRPr="000C6D18">
        <w:rPr>
          <w:rFonts w:ascii="Calibri" w:eastAsia="Times New Roman" w:hAnsi="Calibri" w:cs="Times New Roman"/>
          <w:b/>
          <w:sz w:val="24"/>
          <w:szCs w:val="24"/>
          <w:lang w:eastAsia="ca-ES"/>
        </w:rPr>
        <w:t>5.</w:t>
      </w:r>
      <w:r>
        <w:rPr>
          <w:rFonts w:ascii="Calibri" w:eastAsia="Times New Roman" w:hAnsi="Calibri" w:cs="Times New Roman"/>
          <w:b/>
          <w:sz w:val="24"/>
          <w:szCs w:val="24"/>
          <w:lang w:eastAsia="ca-ES"/>
        </w:rPr>
        <w:t xml:space="preserve">- </w:t>
      </w:r>
      <w:r w:rsidRPr="000C6D18">
        <w:rPr>
          <w:rFonts w:ascii="Calibri" w:eastAsia="Times New Roman" w:hAnsi="Calibri" w:cs="Times New Roman"/>
          <w:b/>
          <w:sz w:val="24"/>
          <w:szCs w:val="24"/>
          <w:lang w:eastAsia="ca-ES"/>
        </w:rPr>
        <w:t>Com s’hauria d’articular la participació d’altres administracions públiques que poden ser afectades per la normativa que promou el Govern?</w:t>
      </w:r>
    </w:p>
    <w:p w:rsidR="00F81320" w:rsidRPr="000C6D18" w:rsidRDefault="00F81320" w:rsidP="00F81320">
      <w:pPr>
        <w:jc w:val="both"/>
        <w:rPr>
          <w:rFonts w:ascii="Calibri" w:eastAsia="Times New Roman" w:hAnsi="Calibri" w:cs="Times New Roman"/>
          <w:sz w:val="24"/>
          <w:szCs w:val="24"/>
          <w:lang w:eastAsia="ca-ES"/>
        </w:rPr>
      </w:pP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>En matèria de protecció civil, concorren competències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 </w:t>
      </w: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>d’Administracions diverses, havent-nos d’atenir a la natura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>lesa</w:t>
      </w: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 xml:space="preserve"> de l’emergència i dels recursos i serveis a mobilitzar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 tenint en compte el marc europeu ja que cada cop sorgeixen noves inic</w:t>
      </w: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 xml:space="preserve">iatives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>e</w:t>
      </w: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 xml:space="preserve">n el </w:t>
      </w: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lastRenderedPageBreak/>
        <w:t>marc de la UE com per exemple, el Mecanisme de Protecció Civil de la Unió Europea.</w:t>
      </w:r>
      <w:r w:rsidRPr="00870F82">
        <w:t xml:space="preserve"> </w:t>
      </w:r>
      <w:r w:rsidRPr="00870F82">
        <w:rPr>
          <w:rFonts w:ascii="Calibri" w:eastAsia="Times New Roman" w:hAnsi="Calibri" w:cs="Times New Roman"/>
          <w:sz w:val="24"/>
          <w:szCs w:val="24"/>
          <w:lang w:eastAsia="ca-ES"/>
        </w:rPr>
        <w:t xml:space="preserve">Com entitat municipalista valorem que el món local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>pugui participar</w:t>
      </w:r>
      <w:r w:rsidRPr="00870F82">
        <w:rPr>
          <w:rFonts w:ascii="Calibri" w:eastAsia="Times New Roman" w:hAnsi="Calibri" w:cs="Times New Roman"/>
          <w:sz w:val="24"/>
          <w:szCs w:val="24"/>
          <w:lang w:eastAsia="ca-ES"/>
        </w:rPr>
        <w:t xml:space="preserve"> des del primer moment tant a nivell de prevenció i planificació, com en la gestió, execució i av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aluació de qualsevol emergència </w:t>
      </w:r>
      <w:r w:rsidRPr="00870F82">
        <w:rPr>
          <w:rFonts w:ascii="Calibri" w:eastAsia="Times New Roman" w:hAnsi="Calibri" w:cs="Times New Roman"/>
          <w:sz w:val="24"/>
          <w:szCs w:val="24"/>
          <w:lang w:eastAsia="ca-ES"/>
        </w:rPr>
        <w:t>fins al retorn a la normalitat basat en el concepte de resiliència.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 Cal configurar un model basat en la coresponsabilitat on els plans municipals s’articulin amb naturalitat en el sistema de protecció civil. </w:t>
      </w:r>
    </w:p>
    <w:p w:rsidR="00F81320" w:rsidRDefault="00F81320" w:rsidP="00F81320">
      <w:pPr>
        <w:jc w:val="both"/>
        <w:rPr>
          <w:rFonts w:ascii="Calibri" w:eastAsia="Times New Roman" w:hAnsi="Calibri" w:cs="Times New Roman"/>
          <w:b/>
          <w:sz w:val="24"/>
          <w:szCs w:val="24"/>
          <w:lang w:eastAsia="ca-ES"/>
        </w:rPr>
      </w:pPr>
      <w:r w:rsidRPr="000C6D18">
        <w:rPr>
          <w:rFonts w:ascii="Calibri" w:eastAsia="Times New Roman" w:hAnsi="Calibri" w:cs="Times New Roman"/>
          <w:b/>
          <w:sz w:val="24"/>
          <w:szCs w:val="24"/>
          <w:lang w:eastAsia="ca-ES"/>
        </w:rPr>
        <w:t>6.</w:t>
      </w:r>
      <w:r>
        <w:rPr>
          <w:rFonts w:ascii="Calibri" w:eastAsia="Times New Roman" w:hAnsi="Calibri" w:cs="Times New Roman"/>
          <w:b/>
          <w:sz w:val="24"/>
          <w:szCs w:val="24"/>
          <w:lang w:eastAsia="ca-ES"/>
        </w:rPr>
        <w:t xml:space="preserve">- </w:t>
      </w:r>
      <w:r w:rsidRPr="000C6D18">
        <w:rPr>
          <w:rFonts w:ascii="Calibri" w:eastAsia="Times New Roman" w:hAnsi="Calibri" w:cs="Times New Roman"/>
          <w:b/>
          <w:sz w:val="24"/>
          <w:szCs w:val="24"/>
          <w:lang w:eastAsia="ca-ES"/>
        </w:rPr>
        <w:t>Considereu que el sistema actual d’articulació de les competències en matèria de protecció civil entre la Generalitat i els ens locals és adequat? Què considereu que caldria canviar? Quines propostes teniu?</w:t>
      </w:r>
    </w:p>
    <w:p w:rsidR="00F81320" w:rsidRDefault="00F81320" w:rsidP="00F81320">
      <w:pPr>
        <w:jc w:val="both"/>
        <w:rPr>
          <w:rFonts w:ascii="Calibri" w:eastAsia="Times New Roman" w:hAnsi="Calibri" w:cs="Times New Roman"/>
          <w:sz w:val="24"/>
          <w:szCs w:val="24"/>
          <w:lang w:eastAsia="ca-ES"/>
        </w:rPr>
      </w:pP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 xml:space="preserve">Caldria homogeneïtzar la formació,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millorar la </w:t>
      </w: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>coordina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>ció</w:t>
      </w: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>d</w:t>
      </w: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 xml:space="preserve">els serveis locals de protecció civil i la d’aquells altres ens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>supralocals</w:t>
      </w: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 xml:space="preserve">. </w:t>
      </w:r>
      <w:r w:rsidRPr="0022325B">
        <w:rPr>
          <w:rFonts w:ascii="Calibri" w:eastAsia="Times New Roman" w:hAnsi="Calibri" w:cs="Times New Roman"/>
          <w:sz w:val="24"/>
          <w:szCs w:val="24"/>
          <w:lang w:eastAsia="ca-ES"/>
        </w:rPr>
        <w:t>Simplificar la legislació i donar suport a les autoritats locals en el seu àmbit territorial per a facilitar la resolució de qualsevol crisis que hagin d’afrontar per exemple amb les empreses de serveis (energia, aigua, etc.)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 </w:t>
      </w: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 xml:space="preserve">També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caldria </w:t>
      </w: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>que tots aquells plans de protecció civil que es puguin replicar a nivell municipal es puguin adaptar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 a les diferents realitats heterogènies del territori</w:t>
      </w:r>
      <w:r w:rsidR="005066DF">
        <w:rPr>
          <w:rFonts w:ascii="Calibri" w:eastAsia="Times New Roman" w:hAnsi="Calibri" w:cs="Times New Roman"/>
          <w:sz w:val="24"/>
          <w:szCs w:val="24"/>
          <w:lang w:eastAsia="ca-ES"/>
        </w:rPr>
        <w:t xml:space="preserve"> respectant l’autonomia municipal i coordinant millor el sistema d’alertes</w:t>
      </w:r>
      <w:r w:rsidRPr="00477747">
        <w:rPr>
          <w:rFonts w:ascii="Calibri" w:eastAsia="Times New Roman" w:hAnsi="Calibri" w:cs="Times New Roman"/>
          <w:sz w:val="24"/>
          <w:szCs w:val="24"/>
          <w:lang w:eastAsia="ca-ES"/>
        </w:rPr>
        <w:t xml:space="preserve">. </w:t>
      </w:r>
    </w:p>
    <w:p w:rsidR="00F81320" w:rsidRPr="000C6D18" w:rsidRDefault="00F81320" w:rsidP="00F81320">
      <w:pPr>
        <w:jc w:val="both"/>
        <w:rPr>
          <w:rFonts w:ascii="Calibri" w:eastAsia="Times New Roman" w:hAnsi="Calibri" w:cs="Times New Roman"/>
          <w:b/>
          <w:sz w:val="24"/>
          <w:szCs w:val="24"/>
          <w:lang w:eastAsia="ca-ES"/>
        </w:rPr>
      </w:pPr>
      <w:r w:rsidRPr="000C6D18">
        <w:rPr>
          <w:rFonts w:ascii="Calibri" w:eastAsia="Times New Roman" w:hAnsi="Calibri" w:cs="Times New Roman"/>
          <w:b/>
          <w:sz w:val="24"/>
          <w:szCs w:val="24"/>
          <w:lang w:eastAsia="ca-ES"/>
        </w:rPr>
        <w:t>7.</w:t>
      </w:r>
      <w:r>
        <w:rPr>
          <w:rFonts w:ascii="Calibri" w:eastAsia="Times New Roman" w:hAnsi="Calibri" w:cs="Times New Roman"/>
          <w:b/>
          <w:sz w:val="24"/>
          <w:szCs w:val="24"/>
          <w:lang w:eastAsia="ca-ES"/>
        </w:rPr>
        <w:t xml:space="preserve">- </w:t>
      </w:r>
      <w:r w:rsidRPr="000C6D18">
        <w:rPr>
          <w:rFonts w:ascii="Calibri" w:eastAsia="Times New Roman" w:hAnsi="Calibri" w:cs="Times New Roman"/>
          <w:b/>
          <w:sz w:val="24"/>
          <w:szCs w:val="24"/>
          <w:lang w:eastAsia="ca-ES"/>
        </w:rPr>
        <w:t>Creieu que la configuració del sistema de cossos d’emergències actual és suficient? Quin paper ha de tenir el voluntariat en les emergències? I els serveis privats d’emergències?</w:t>
      </w:r>
    </w:p>
    <w:p w:rsidR="00F81320" w:rsidRDefault="00F81320" w:rsidP="00F81320">
      <w:pPr>
        <w:jc w:val="both"/>
        <w:rPr>
          <w:rFonts w:ascii="Calibri" w:eastAsia="Times New Roman" w:hAnsi="Calibri" w:cs="Times New Roman"/>
          <w:sz w:val="24"/>
          <w:szCs w:val="24"/>
          <w:lang w:eastAsia="ca-ES"/>
        </w:rPr>
      </w:pP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 xml:space="preserve">En matèria d’associacions de voluntaris de protecció civil,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>bombers voluntaris (i en el cas d’associacions de defensa forestal on no son presents els anteriors) no està ben regulat el marc normatiu i cal configurar un marc d’actuació amb més garanties i seguretat jurídica pels intervinents. Ni te</w:t>
      </w: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 xml:space="preserve">nim ben identificades les seves funcions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ni </w:t>
      </w: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les seves </w:t>
      </w:r>
      <w:r w:rsidRPr="000C6D18">
        <w:rPr>
          <w:rFonts w:ascii="Calibri" w:eastAsia="Times New Roman" w:hAnsi="Calibri" w:cs="Times New Roman"/>
          <w:sz w:val="24"/>
          <w:szCs w:val="24"/>
          <w:lang w:eastAsia="ca-ES"/>
        </w:rPr>
        <w:t>responsabilitats</w:t>
      </w:r>
      <w:r>
        <w:rPr>
          <w:rFonts w:ascii="Calibri" w:eastAsia="Times New Roman" w:hAnsi="Calibri" w:cs="Times New Roman"/>
          <w:sz w:val="24"/>
          <w:szCs w:val="24"/>
          <w:lang w:eastAsia="ca-ES"/>
        </w:rPr>
        <w:t xml:space="preserve"> ni està garantida una necessària pòlissa d’assegurança de responsabilitat civil pels riscos que puguin assumir els intervinents.  </w:t>
      </w:r>
    </w:p>
    <w:p w:rsidR="00930E3C" w:rsidRPr="00F81320" w:rsidRDefault="00930E3C" w:rsidP="00945C3B">
      <w:pPr>
        <w:pBdr>
          <w:bottom w:val="single" w:sz="4" w:space="1" w:color="1F497D" w:themeColor="text2"/>
        </w:pBdr>
        <w:jc w:val="both"/>
        <w:rPr>
          <w:color w:val="1F497D" w:themeColor="text2"/>
          <w:sz w:val="24"/>
        </w:rPr>
      </w:pPr>
    </w:p>
    <w:p w:rsidR="003245BA" w:rsidRPr="003245BA" w:rsidRDefault="003245BA" w:rsidP="003245BA">
      <w:pPr>
        <w:jc w:val="both"/>
        <w:rPr>
          <w:sz w:val="24"/>
          <w:szCs w:val="24"/>
        </w:rPr>
      </w:pPr>
    </w:p>
    <w:p w:rsidR="00BA19EC" w:rsidRDefault="00BA19EC" w:rsidP="00BA19EC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  <w:sectPr w:rsidR="00BA19EC" w:rsidSect="00DC29D3">
          <w:headerReference w:type="default" r:id="rId7"/>
          <w:footerReference w:type="default" r:id="rId8"/>
          <w:pgSz w:w="11906" w:h="16838"/>
          <w:pgMar w:top="1961" w:right="1701" w:bottom="1417" w:left="1701" w:header="708" w:footer="708" w:gutter="0"/>
          <w:cols w:space="708"/>
          <w:docGrid w:linePitch="360"/>
        </w:sectPr>
      </w:pPr>
    </w:p>
    <w:p w:rsidR="007155DF" w:rsidRPr="005037C7" w:rsidRDefault="007155DF" w:rsidP="003245BA">
      <w:pPr>
        <w:ind w:left="360"/>
        <w:jc w:val="both"/>
        <w:rPr>
          <w:lang w:val="en-US"/>
        </w:rPr>
      </w:pPr>
    </w:p>
    <w:sectPr w:rsidR="007155DF" w:rsidRPr="005037C7" w:rsidSect="00BA19EC">
      <w:type w:val="continuous"/>
      <w:pgSz w:w="11906" w:h="16838"/>
      <w:pgMar w:top="1961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1C" w:rsidRDefault="0070151C" w:rsidP="00DC29D3">
      <w:pPr>
        <w:spacing w:after="0" w:line="240" w:lineRule="auto"/>
      </w:pPr>
      <w:r>
        <w:separator/>
      </w:r>
    </w:p>
  </w:endnote>
  <w:endnote w:type="continuationSeparator" w:id="0">
    <w:p w:rsidR="0070151C" w:rsidRDefault="0070151C" w:rsidP="00D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40805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737503" w:rsidRPr="00737503" w:rsidRDefault="00737503" w:rsidP="00737503">
        <w:pPr>
          <w:pStyle w:val="Piedepgina"/>
          <w:rPr>
            <w:color w:val="1F497D" w:themeColor="text2"/>
          </w:rPr>
        </w:pPr>
        <w:r>
          <w:tab/>
        </w:r>
        <w:r>
          <w:tab/>
        </w:r>
        <w:r w:rsidRPr="00737503">
          <w:rPr>
            <w:color w:val="1F497D" w:themeColor="text2"/>
          </w:rPr>
          <w:fldChar w:fldCharType="begin"/>
        </w:r>
        <w:r w:rsidRPr="00737503">
          <w:rPr>
            <w:color w:val="1F497D" w:themeColor="text2"/>
          </w:rPr>
          <w:instrText>PAGE   \* MERGEFORMAT</w:instrText>
        </w:r>
        <w:r w:rsidRPr="00737503">
          <w:rPr>
            <w:color w:val="1F497D" w:themeColor="text2"/>
          </w:rPr>
          <w:fldChar w:fldCharType="separate"/>
        </w:r>
        <w:r w:rsidR="00801242" w:rsidRPr="00801242">
          <w:rPr>
            <w:noProof/>
            <w:color w:val="1F497D" w:themeColor="text2"/>
            <w:lang w:val="es-ES"/>
          </w:rPr>
          <w:t>1</w:t>
        </w:r>
        <w:r w:rsidRPr="00737503">
          <w:rPr>
            <w:color w:val="1F497D" w:themeColor="text2"/>
          </w:rPr>
          <w:fldChar w:fldCharType="end"/>
        </w:r>
      </w:p>
    </w:sdtContent>
  </w:sdt>
  <w:p w:rsidR="00737503" w:rsidRDefault="007375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1C" w:rsidRDefault="0070151C" w:rsidP="00DC29D3">
      <w:pPr>
        <w:spacing w:after="0" w:line="240" w:lineRule="auto"/>
      </w:pPr>
      <w:r>
        <w:separator/>
      </w:r>
    </w:p>
  </w:footnote>
  <w:footnote w:type="continuationSeparator" w:id="0">
    <w:p w:rsidR="0070151C" w:rsidRDefault="0070151C" w:rsidP="00D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D3" w:rsidRDefault="00DC29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3F84ADFA" wp14:editId="6013307A">
          <wp:simplePos x="0" y="0"/>
          <wp:positionH relativeFrom="column">
            <wp:posOffset>5715</wp:posOffset>
          </wp:positionH>
          <wp:positionV relativeFrom="paragraph">
            <wp:posOffset>-40005</wp:posOffset>
          </wp:positionV>
          <wp:extent cx="1400175" cy="616585"/>
          <wp:effectExtent l="0" t="0" r="9525" b="0"/>
          <wp:wrapThrough wrapText="bothSides">
            <wp:wrapPolygon edited="0">
              <wp:start x="0" y="0"/>
              <wp:lineTo x="0" y="20688"/>
              <wp:lineTo x="21453" y="20688"/>
              <wp:lineTo x="2145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9D3" w:rsidRDefault="00DC29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CF3"/>
    <w:multiLevelType w:val="hybridMultilevel"/>
    <w:tmpl w:val="D974D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56716"/>
    <w:multiLevelType w:val="hybridMultilevel"/>
    <w:tmpl w:val="982A0CAA"/>
    <w:lvl w:ilvl="0" w:tplc="467C8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2450"/>
    <w:multiLevelType w:val="hybridMultilevel"/>
    <w:tmpl w:val="AA96EF32"/>
    <w:lvl w:ilvl="0" w:tplc="C42C8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167F9"/>
    <w:multiLevelType w:val="hybridMultilevel"/>
    <w:tmpl w:val="2F3A444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187941"/>
    <w:multiLevelType w:val="multilevel"/>
    <w:tmpl w:val="F510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96729"/>
    <w:multiLevelType w:val="hybridMultilevel"/>
    <w:tmpl w:val="D0A867E0"/>
    <w:lvl w:ilvl="0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20"/>
    <w:rsid w:val="00011D19"/>
    <w:rsid w:val="0008469C"/>
    <w:rsid w:val="001301E7"/>
    <w:rsid w:val="001E4161"/>
    <w:rsid w:val="00286FB2"/>
    <w:rsid w:val="00297321"/>
    <w:rsid w:val="003245BA"/>
    <w:rsid w:val="0041384B"/>
    <w:rsid w:val="00490E86"/>
    <w:rsid w:val="0049470F"/>
    <w:rsid w:val="005037C7"/>
    <w:rsid w:val="005066DF"/>
    <w:rsid w:val="0058733E"/>
    <w:rsid w:val="00646D6C"/>
    <w:rsid w:val="006D50F7"/>
    <w:rsid w:val="0070151C"/>
    <w:rsid w:val="007155DF"/>
    <w:rsid w:val="00737503"/>
    <w:rsid w:val="0076786F"/>
    <w:rsid w:val="007C6599"/>
    <w:rsid w:val="00801242"/>
    <w:rsid w:val="00913E2A"/>
    <w:rsid w:val="0091530B"/>
    <w:rsid w:val="00930E3C"/>
    <w:rsid w:val="00945C3B"/>
    <w:rsid w:val="00946F7E"/>
    <w:rsid w:val="00983585"/>
    <w:rsid w:val="009C2EE1"/>
    <w:rsid w:val="00A04FF5"/>
    <w:rsid w:val="00A14F23"/>
    <w:rsid w:val="00BA19EC"/>
    <w:rsid w:val="00BA73BE"/>
    <w:rsid w:val="00C5779A"/>
    <w:rsid w:val="00CA5721"/>
    <w:rsid w:val="00D260A5"/>
    <w:rsid w:val="00D3368B"/>
    <w:rsid w:val="00D81A2C"/>
    <w:rsid w:val="00DC29D3"/>
    <w:rsid w:val="00DC45F0"/>
    <w:rsid w:val="00DE35A1"/>
    <w:rsid w:val="00EA046A"/>
    <w:rsid w:val="00ED439C"/>
    <w:rsid w:val="00F81320"/>
    <w:rsid w:val="00F9249D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8AB8A"/>
  <w15:docId w15:val="{CF074975-BAAD-4937-87CD-4247A2D9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9D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C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9D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D3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DC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6D6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4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M\6.%20CONTINGUTS\6.7%20FITXES\6.7.1%20POSICIONAMENTS\2019\Plantilla%20Fitxa%20Posicionament.2019MMDD.FITXA%20XX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Fitxa Posicionament.2019MMDD.FITXA XXX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ACM.cat - Rafael de Yzaguirre</dc:creator>
  <cp:lastModifiedBy>ACM.cat - Jan Reñé</cp:lastModifiedBy>
  <cp:revision>3</cp:revision>
  <cp:lastPrinted>2019-11-04T13:40:00Z</cp:lastPrinted>
  <dcterms:created xsi:type="dcterms:W3CDTF">2020-03-03T08:48:00Z</dcterms:created>
  <dcterms:modified xsi:type="dcterms:W3CDTF">2020-03-03T12:35:00Z</dcterms:modified>
</cp:coreProperties>
</file>